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08D81">
      <w:pPr>
        <w:keepNext w:val="0"/>
        <w:keepLines w:val="0"/>
        <w:pageBreakBefore w:val="0"/>
        <w:kinsoku/>
        <w:overflowPunct/>
        <w:topLinePunct w:val="0"/>
        <w:autoSpaceDE/>
        <w:autoSpaceDN/>
        <w:bidi w:val="0"/>
        <w:adjustRightInd/>
        <w:snapToGrid/>
        <w:spacing w:after="0" w:line="560" w:lineRule="exact"/>
        <w:contextualSpacing/>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河南黄河教育投资有限公司</w:t>
      </w:r>
    </w:p>
    <w:p w14:paraId="7D1BAD06">
      <w:pPr>
        <w:keepNext w:val="0"/>
        <w:keepLines w:val="0"/>
        <w:pageBreakBefore w:val="0"/>
        <w:kinsoku/>
        <w:overflowPunct/>
        <w:topLinePunct w:val="0"/>
        <w:autoSpaceDE/>
        <w:autoSpaceDN/>
        <w:bidi w:val="0"/>
        <w:adjustRightInd/>
        <w:snapToGrid/>
        <w:spacing w:after="0" w:line="560" w:lineRule="exact"/>
        <w:contextualSpacing/>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新型研究型大学（筹）项目首期工程</w:t>
      </w:r>
      <w:r>
        <w:rPr>
          <w:rFonts w:hint="eastAsia" w:ascii="方正小标宋简体" w:hAnsi="Times New Roman" w:eastAsia="方正小标宋简体" w:cs="Times New Roman"/>
          <w:b w:val="0"/>
          <w:sz w:val="44"/>
          <w:szCs w:val="44"/>
          <w:highlight w:val="none"/>
          <w:lang w:val="en-US" w:eastAsia="zh-CN"/>
        </w:rPr>
        <w:t>水土保持方案编制</w:t>
      </w:r>
      <w:r>
        <w:rPr>
          <w:rFonts w:hint="eastAsia" w:ascii="方正小标宋简体" w:hAnsi="Times New Roman" w:eastAsia="方正小标宋简体" w:cs="Times New Roman"/>
          <w:sz w:val="44"/>
          <w:szCs w:val="44"/>
          <w:highlight w:val="none"/>
        </w:rPr>
        <w:t>服务初步</w:t>
      </w:r>
      <w:r>
        <w:rPr>
          <w:rFonts w:hint="eastAsia" w:ascii="方正小标宋简体" w:hAnsi="方正小标宋简体" w:eastAsia="方正小标宋简体" w:cs="方正小标宋简体"/>
          <w:b w:val="0"/>
          <w:bCs w:val="0"/>
          <w:sz w:val="44"/>
          <w:szCs w:val="44"/>
          <w:highlight w:val="none"/>
          <w:lang w:val="en-US" w:eastAsia="zh-CN"/>
        </w:rPr>
        <w:t>询价函</w:t>
      </w:r>
    </w:p>
    <w:p w14:paraId="64DB272D">
      <w:pPr>
        <w:keepNext w:val="0"/>
        <w:keepLines w:val="0"/>
        <w:pageBreakBefore w:val="0"/>
        <w:kinsoku/>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highlight w:val="none"/>
        </w:rPr>
      </w:pPr>
    </w:p>
    <w:p w14:paraId="00F8679C">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color w:val="000000"/>
          <w:spacing w:val="0"/>
          <w:w w:val="100"/>
          <w:position w:val="0"/>
          <w:sz w:val="32"/>
          <w:szCs w:val="32"/>
          <w:highlight w:val="none"/>
          <w:lang w:val="en-US" w:eastAsia="zh-CN"/>
        </w:rPr>
      </w:pPr>
      <w:r>
        <w:rPr>
          <w:rFonts w:hint="eastAsia" w:ascii="仿宋_GB2312" w:hAnsi="仿宋_GB2312" w:eastAsia="仿宋_GB2312" w:cs="仿宋_GB2312"/>
          <w:color w:val="000000"/>
          <w:spacing w:val="0"/>
          <w:w w:val="100"/>
          <w:position w:val="0"/>
          <w:sz w:val="32"/>
          <w:szCs w:val="32"/>
          <w:highlight w:val="none"/>
          <w:lang w:val="en-US" w:eastAsia="zh-CN"/>
        </w:rPr>
        <w:t>因项目建设需要，河南黄河教育投资有限公司新型研究型大学（筹）项目首期</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工程（地块一、二、三、四、五、六）</w:t>
      </w:r>
      <w:r>
        <w:rPr>
          <w:rFonts w:hint="eastAsia" w:ascii="仿宋_GB2312" w:hAnsi="仿宋_GB2312" w:eastAsia="仿宋_GB2312" w:cs="仿宋_GB2312"/>
          <w:color w:val="000000"/>
          <w:spacing w:val="0"/>
          <w:w w:val="100"/>
          <w:position w:val="0"/>
          <w:sz w:val="32"/>
          <w:szCs w:val="32"/>
          <w:highlight w:val="none"/>
          <w:lang w:val="en-US" w:eastAsia="zh-CN"/>
        </w:rPr>
        <w:t>需要确定水土保持方案编制</w:t>
      </w:r>
      <w:r>
        <w:rPr>
          <w:rFonts w:hint="eastAsia" w:ascii="仿宋_GB2312" w:hAnsi="仿宋_GB2312" w:eastAsia="仿宋_GB2312" w:cs="仿宋_GB2312"/>
          <w:sz w:val="32"/>
          <w:szCs w:val="32"/>
          <w:highlight w:val="none"/>
          <w:lang w:val="en-US" w:eastAsia="zh-CN"/>
        </w:rPr>
        <w:t>服务单位</w:t>
      </w:r>
      <w:r>
        <w:rPr>
          <w:rFonts w:hint="eastAsia" w:ascii="仿宋_GB2312" w:hAnsi="仿宋_GB2312" w:eastAsia="仿宋_GB2312" w:cs="仿宋_GB2312"/>
          <w:color w:val="000000"/>
          <w:spacing w:val="0"/>
          <w:w w:val="100"/>
          <w:position w:val="0"/>
          <w:sz w:val="32"/>
          <w:szCs w:val="32"/>
          <w:highlight w:val="none"/>
          <w:lang w:val="en-US" w:eastAsia="zh-CN"/>
        </w:rPr>
        <w:t>，现就该项目水土保持方案编制、监测、监理、验收、评审、报批等</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color w:val="000000"/>
          <w:spacing w:val="0"/>
          <w:w w:val="100"/>
          <w:position w:val="0"/>
          <w:sz w:val="32"/>
          <w:szCs w:val="32"/>
          <w:highlight w:val="none"/>
          <w:lang w:val="en-US" w:eastAsia="zh-CN"/>
        </w:rPr>
        <w:t>费用进行询价。</w:t>
      </w:r>
    </w:p>
    <w:p w14:paraId="6C3E23DE">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一、项目</w:t>
      </w:r>
      <w:r>
        <w:rPr>
          <w:rFonts w:hint="eastAsia" w:ascii="黑体" w:hAnsi="黑体" w:eastAsia="黑体" w:cs="黑体"/>
          <w:sz w:val="32"/>
          <w:szCs w:val="32"/>
          <w:highlight w:val="none"/>
          <w:lang w:val="en-US" w:eastAsia="zh-CN"/>
        </w:rPr>
        <w:t>需求</w:t>
      </w:r>
    </w:p>
    <w:p w14:paraId="36DCD770">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服务内容：结合新型研究型大学（筹）项目首期工程实际情况并进行调研分析，编制首期工程水土保持方案，并进行方案监测、监理、验收、评审、报批等服务。</w:t>
      </w:r>
    </w:p>
    <w:p w14:paraId="1E821407">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pP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服务工期：河南黄河教育投资有限公司提供编制报告所需资料以后，服务单位在30个日历天内完成方案的编制工作；水土保持方案监测、监理随工程施工进行，随工程竣工时间结束本项所有工作内容。水土保持方案验收于工程竣工后一个月内结束本项所有工作。</w:t>
      </w:r>
    </w:p>
    <w:p w14:paraId="0CE6B246">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二、</w:t>
      </w:r>
      <w:r>
        <w:rPr>
          <w:rFonts w:hint="eastAsia" w:ascii="黑体" w:hAnsi="黑体" w:eastAsia="黑体" w:cs="黑体"/>
          <w:sz w:val="32"/>
          <w:szCs w:val="32"/>
          <w:highlight w:val="none"/>
          <w:lang w:val="en-US" w:eastAsia="zh-CN"/>
        </w:rPr>
        <w:t>询价须知</w:t>
      </w:r>
    </w:p>
    <w:p w14:paraId="081187ED">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（一）资格要求</w:t>
      </w:r>
    </w:p>
    <w:p w14:paraId="3A17E6CE">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u w:val="none"/>
          <w:lang w:val="en-US" w:eastAsia="zh-CN"/>
        </w:rPr>
        <w:t>具备独立法人资格。</w:t>
      </w:r>
    </w:p>
    <w:p w14:paraId="373ED51C">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2.近三年（2023年1月1日以来，成立不足三年的企业，自成立之日起），在经营活动中没有重大违法记录。</w:t>
      </w:r>
    </w:p>
    <w:p w14:paraId="7039690F">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（二）项目基本信息及成果要求</w:t>
      </w:r>
    </w:p>
    <w:p w14:paraId="7BB35FE4">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新型研究型大学（筹）项目位于郑州航空港经济综合实验区淮海路以南，嘉莲东路以北，双鹤街－雍州路以西，鹤立北街－鹤首西路－鹤西环路－高河路－梅河路以东。首期工程包括六个地块（详见附图1），总占地约473亩。用地分类均为高等教育用地（080401），取得方式为划拨。</w:t>
      </w:r>
    </w:p>
    <w:p w14:paraId="69117D7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黑体" w:hAnsi="宋体" w:eastAsia="黑体" w:cs="黑体"/>
          <w:i w:val="0"/>
          <w:iCs w:val="0"/>
          <w:caps w:val="0"/>
          <w:color w:val="000000"/>
          <w:spacing w:val="0"/>
          <w:sz w:val="32"/>
          <w:szCs w:val="32"/>
          <w:u w:val="none"/>
          <w:shd w:val="clear" w:fill="FFFFFF"/>
          <w:lang w:val="en-US" w:eastAsia="zh-CN"/>
        </w:rPr>
      </w:pPr>
      <w:r>
        <w:rPr>
          <w:rFonts w:hint="eastAsia" w:ascii="仿宋_GB2312" w:hAnsi="仿宋_GB2312" w:eastAsia="仿宋_GB2312" w:cs="仿宋_GB2312"/>
          <w:sz w:val="32"/>
          <w:szCs w:val="32"/>
          <w:highlight w:val="none"/>
          <w:u w:val="none"/>
          <w:lang w:val="en-US" w:eastAsia="zh-CN"/>
        </w:rPr>
        <w:t>已规划总用地面积246906.05㎡，总建筑面积230669.70㎡，地上建筑面积204054.50㎡，地下建筑面积26615.24㎡，其中人防兼地下车库22800.00㎡。机动车停车位722个，地上机动车停车位212个，地下机动车停车位510个；非机动车停车位5190个。未定规划用地面积68912.47㎡（地块六）。</w:t>
      </w:r>
    </w:p>
    <w:p w14:paraId="3478C98B">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运动中心：用地面积56150.90㎡，总建筑面积21699.70㎡，地上20354.46㎡，地下1345.24㎡，容积率：0.36，建筑密度：19.93，绿地率：26.45。</w:t>
      </w:r>
    </w:p>
    <w:p w14:paraId="736A0ADD">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工程中心：用地面积49090.58㎡，总建筑面积65053㎡，地上48653.00㎡，地下16400.00㎡，容积率：0.99，建筑密度：20.09，绿地率：25.01。</w:t>
      </w:r>
    </w:p>
    <w:p w14:paraId="6AC7E57C">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师生服务中心：用地面积46584.79㎡，总建筑面积40170.00㎡，地上31000.00㎡，地下9170.00㎡，容积率：0.67，建筑密度：20.71，绿地率：25.10。</w:t>
      </w:r>
    </w:p>
    <w:p w14:paraId="5BAEA7D4">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理学院组团：用地面积48798.87㎡，总建筑面积54345.00㎡，地上54223.00㎡，地下122.00㎡，容积率：1.11，建筑密度：27.93，绿地率：25.17。</w:t>
      </w:r>
    </w:p>
    <w:p w14:paraId="3EBBCDA7">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sz w:val="32"/>
          <w:szCs w:val="32"/>
          <w:lang w:val="en-US" w:eastAsia="zh-CN"/>
        </w:rPr>
      </w:pPr>
      <w:r>
        <w:rPr>
          <w:rFonts w:hint="eastAsia" w:ascii="仿宋_GB2312" w:hAnsi="仿宋_GB2312" w:eastAsia="仿宋_GB2312" w:cs="仿宋_GB2312"/>
          <w:sz w:val="32"/>
          <w:szCs w:val="32"/>
          <w:highlight w:val="none"/>
          <w:u w:val="none"/>
          <w:lang w:val="en-US" w:eastAsia="zh-CN"/>
        </w:rPr>
        <w:t>艺术与设计学院组团：用地面积46280.91㎡，总建筑面积50728.00㎡，地上50606.00㎡，地下122.00㎡，容积率：1.09，建筑密度：24.61，绿地率：25.41。</w:t>
      </w:r>
    </w:p>
    <w:p w14:paraId="4857B934">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本次询价包括</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新型研究型大学（筹）项目首期工程</w:t>
      </w:r>
      <w:r>
        <w:rPr>
          <w:rFonts w:hint="eastAsia" w:ascii="仿宋_GB2312" w:hAnsi="仿宋_GB2312" w:eastAsia="仿宋_GB2312" w:cs="仿宋_GB2312"/>
          <w:sz w:val="32"/>
          <w:szCs w:val="32"/>
          <w:highlight w:val="none"/>
          <w:u w:val="none"/>
          <w:lang w:val="en-US" w:eastAsia="zh-CN"/>
        </w:rPr>
        <w:t>水土保持方案编制、监测、监理、验收、评审、报批等所需的人工及成本费、税金等，以及受托人所有责任、义务和一般风险等所可能发生的一切费用。报价为全包价，本公司不再支付其他任何费用，合同一次签订。</w:t>
      </w:r>
    </w:p>
    <w:p w14:paraId="2A5F1E95">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水土保持方案应符合中华人民共和国国家标准《开发建设项目水土保持技术规范》（GB50433-2008）、《生产建设项目水土流失防治标准》（GB/T50434-2018）、中华人民共和国水利行业标准《水土保持监测技术规程》（SL277-2002）及委托人所在地相关审批部门的规定。</w:t>
      </w:r>
    </w:p>
    <w:p w14:paraId="2892B14B">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（三）响应文件及时间要求</w:t>
      </w:r>
    </w:p>
    <w:p w14:paraId="19AD7BFF">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询价参与人于</w:t>
      </w:r>
      <w:r>
        <w:rPr>
          <w:rFonts w:hint="eastAsia" w:ascii="仿宋_GB2312" w:hAnsi="仿宋_GB2312" w:eastAsia="仿宋_GB2312" w:cs="仿宋_GB2312"/>
          <w:sz w:val="32"/>
          <w:szCs w:val="32"/>
          <w:highlight w:val="none"/>
          <w:u w:val="single"/>
          <w:lang w:val="en-US" w:eastAsia="zh-CN"/>
        </w:rPr>
        <w:t>2026年9月15日12:00</w:t>
      </w:r>
      <w:r>
        <w:rPr>
          <w:rFonts w:hint="eastAsia" w:ascii="仿宋_GB2312" w:hAnsi="仿宋_GB2312" w:eastAsia="仿宋_GB2312" w:cs="仿宋_GB2312"/>
          <w:sz w:val="32"/>
          <w:szCs w:val="32"/>
          <w:highlight w:val="none"/>
          <w:lang w:val="en-US" w:eastAsia="zh-CN"/>
        </w:rPr>
        <w:t>前将响应本项目的响应文件（包括采购询价报价表、营业执照（正本或副本复印件））加盖公章后扫描件制作成压缩包并发送至邮箱：</w:t>
      </w:r>
      <w:r>
        <w:rPr>
          <w:rFonts w:hint="eastAsia" w:ascii="仿宋_GB2312" w:hAnsi="仿宋_GB2312" w:eastAsia="仿宋_GB2312" w:cs="仿宋_GB2312"/>
          <w:sz w:val="32"/>
          <w:szCs w:val="32"/>
          <w:highlight w:val="none"/>
          <w:u w:val="none"/>
          <w:lang w:val="en-US" w:eastAsia="zh-CN"/>
        </w:rPr>
        <w:fldChar w:fldCharType="begin"/>
      </w:r>
      <w:r>
        <w:rPr>
          <w:rFonts w:hint="eastAsia" w:ascii="仿宋_GB2312" w:hAnsi="仿宋_GB2312" w:eastAsia="仿宋_GB2312" w:cs="仿宋_GB2312"/>
          <w:sz w:val="32"/>
          <w:szCs w:val="32"/>
          <w:highlight w:val="none"/>
          <w:u w:val="none"/>
          <w:lang w:val="en-US" w:eastAsia="zh-CN"/>
        </w:rPr>
        <w:instrText xml:space="preserve"> HYPERLINK "mailto:hhjygszbcgzy@zyyzgroup.com。" </w:instrText>
      </w:r>
      <w:r>
        <w:rPr>
          <w:rFonts w:hint="eastAsia" w:ascii="仿宋_GB2312" w:hAnsi="仿宋_GB2312" w:eastAsia="仿宋_GB2312" w:cs="仿宋_GB2312"/>
          <w:sz w:val="32"/>
          <w:szCs w:val="32"/>
          <w:highlight w:val="none"/>
          <w:u w:val="none"/>
          <w:lang w:val="en-US" w:eastAsia="zh-CN"/>
        </w:rPr>
        <w:fldChar w:fldCharType="separate"/>
      </w:r>
      <w:r>
        <w:rPr>
          <w:rStyle w:val="14"/>
          <w:rFonts w:hint="eastAsia" w:ascii="仿宋_GB2312" w:hAnsi="仿宋_GB2312" w:eastAsia="仿宋_GB2312" w:cs="仿宋_GB2312"/>
          <w:sz w:val="32"/>
          <w:szCs w:val="32"/>
          <w:highlight w:val="none"/>
          <w:lang w:val="en-US" w:eastAsia="zh-CN"/>
        </w:rPr>
        <w:t>hhjygszbcgzy@zyyzgroup.com</w:t>
      </w:r>
      <w:r>
        <w:rPr>
          <w:rFonts w:hint="eastAsia" w:ascii="仿宋_GB2312" w:hAnsi="仿宋_GB2312" w:eastAsia="仿宋_GB2312" w:cs="仿宋_GB2312"/>
          <w:sz w:val="32"/>
          <w:szCs w:val="32"/>
          <w:highlight w:val="none"/>
          <w:u w:val="none"/>
          <w:lang w:val="en-US" w:eastAsia="zh-CN"/>
        </w:rPr>
        <w:fldChar w:fldCharType="end"/>
      </w:r>
      <w:r>
        <w:rPr>
          <w:rFonts w:hint="eastAsia" w:ascii="仿宋_GB2312" w:hAnsi="仿宋_GB2312" w:eastAsia="仿宋_GB2312" w:cs="仿宋_GB2312"/>
          <w:sz w:val="32"/>
          <w:szCs w:val="32"/>
          <w:highlight w:val="none"/>
          <w:lang w:val="en-US" w:eastAsia="zh-CN"/>
        </w:rPr>
        <w:t>。联系人：李宇盎；联系电话：16696906326。</w:t>
      </w:r>
      <w:r>
        <w:rPr>
          <w:rFonts w:hint="eastAsia" w:ascii="仿宋_GB2312" w:hAnsi="仿宋_GB2312" w:eastAsia="仿宋_GB2312" w:cs="仿宋_GB2312"/>
          <w:color w:val="0000FF"/>
          <w:sz w:val="32"/>
          <w:szCs w:val="32"/>
          <w:lang w:val="en-US" w:eastAsia="zh-CN"/>
        </w:rPr>
        <w:t>本次询价仅为初步询价，不确定中标单位</w:t>
      </w:r>
      <w:r>
        <w:rPr>
          <w:rFonts w:hint="eastAsia" w:ascii="仿宋_GB2312" w:hAnsi="仿宋_GB2312" w:eastAsia="仿宋_GB2312" w:cs="仿宋_GB2312"/>
          <w:color w:val="0000FF"/>
          <w:sz w:val="32"/>
          <w:szCs w:val="32"/>
          <w:highlight w:val="none"/>
          <w:lang w:val="en-US" w:eastAsia="zh-CN"/>
        </w:rPr>
        <w:t>。</w:t>
      </w:r>
    </w:p>
    <w:p w14:paraId="4E1E3472">
      <w:pPr>
        <w:keepNext w:val="0"/>
        <w:keepLines w:val="0"/>
        <w:pageBreakBefore w:val="0"/>
        <w:numPr>
          <w:ilvl w:val="0"/>
          <w:numId w:val="0"/>
        </w:numPr>
        <w:kinsoku/>
        <w:wordWrap w:val="0"/>
        <w:overflowPunct/>
        <w:topLinePunct w:val="0"/>
        <w:autoSpaceDE/>
        <w:autoSpaceDN/>
        <w:bidi w:val="0"/>
        <w:adjustRightInd/>
        <w:snapToGrid/>
        <w:spacing w:after="0" w:line="550" w:lineRule="exact"/>
        <w:ind w:firstLine="8640" w:firstLineChars="2700"/>
        <w:textAlignment w:val="auto"/>
        <w:rPr>
          <w:rFonts w:hint="eastAsia"/>
          <w:highlight w:val="none"/>
        </w:rPr>
      </w:pPr>
      <w:r>
        <w:rPr>
          <w:rFonts w:hint="eastAsia" w:ascii="黑体" w:hAnsi="黑体" w:eastAsia="黑体" w:cs="黑体"/>
          <w:kern w:val="2"/>
          <w:sz w:val="32"/>
          <w:szCs w:val="32"/>
          <w:highlight w:val="none"/>
          <w:lang w:val="en-US" w:eastAsia="zh-CN" w:bidi="ar-SA"/>
        </w:rPr>
        <w:t xml:space="preserve"> </w:t>
      </w:r>
    </w:p>
    <w:p w14:paraId="76B3A09D">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河南黄河教育投资有限公司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9</w:t>
      </w:r>
      <w:bookmarkStart w:id="1" w:name="_GoBack"/>
      <w:bookmarkEnd w:id="1"/>
      <w:r>
        <w:rPr>
          <w:rFonts w:hint="eastAsia" w:ascii="仿宋_GB2312" w:hAnsi="仿宋_GB2312" w:eastAsia="仿宋_GB2312" w:cs="仿宋_GB2312"/>
          <w:sz w:val="32"/>
          <w:szCs w:val="32"/>
          <w:highlight w:val="none"/>
        </w:rPr>
        <w:t>日</w:t>
      </w:r>
    </w:p>
    <w:p w14:paraId="1A356B3E">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69544D4C">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ascii="仿宋" w:hAnsi="仿宋" w:eastAsia="仿宋" w:cs="仿宋"/>
          <w:b/>
          <w:bCs/>
          <w:sz w:val="32"/>
          <w:szCs w:val="32"/>
          <w:highlight w:val="none"/>
        </w:rPr>
      </w:pPr>
      <w:r>
        <w:rPr>
          <w:rFonts w:hint="eastAsia" w:ascii="微软雅黑" w:hAnsi="微软雅黑" w:eastAsia="微软雅黑" w:cs="微软雅黑"/>
          <w:sz w:val="32"/>
          <w:szCs w:val="32"/>
          <w:highlight w:val="none"/>
        </w:rPr>
        <w:t>采购询价报价表</w:t>
      </w:r>
    </w:p>
    <w:p w14:paraId="5AAB8C41">
      <w:pPr>
        <w:pStyle w:val="2"/>
        <w:keepNext w:val="0"/>
        <w:keepLines w:val="0"/>
        <w:pageBreakBefore w:val="0"/>
        <w:widowControl w:val="0"/>
        <w:kinsoku/>
        <w:wordWrap/>
        <w:overflowPunct/>
        <w:topLinePunct w:val="0"/>
        <w:autoSpaceDE/>
        <w:autoSpaceDN/>
        <w:bidi w:val="0"/>
        <w:adjustRightInd/>
        <w:snapToGrid w:val="0"/>
        <w:spacing w:beforeAutospacing="0" w:afterAutospacing="0" w:line="240" w:lineRule="auto"/>
        <w:textAlignment w:val="auto"/>
        <w:rPr>
          <w:rFonts w:hint="eastAsia" w:ascii="宋体" w:eastAsia="黑体" w:cs="宋体"/>
          <w:highlight w:val="none"/>
          <w:lang w:eastAsia="zh-CN"/>
        </w:rPr>
      </w:pPr>
      <w:r>
        <w:rPr>
          <w:rFonts w:hint="eastAsia" w:ascii="宋体" w:cs="宋体"/>
          <w:highlight w:val="none"/>
          <w:lang w:val="en-US" w:eastAsia="zh-CN"/>
        </w:rPr>
        <w:t>报   价   单</w:t>
      </w:r>
    </w:p>
    <w:tbl>
      <w:tblPr>
        <w:tblStyle w:val="11"/>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42" w:type="dxa"/>
          <w:left w:w="142" w:type="dxa"/>
          <w:bottom w:w="142" w:type="dxa"/>
          <w:right w:w="142" w:type="dxa"/>
        </w:tblCellMar>
      </w:tblPr>
      <w:tblGrid>
        <w:gridCol w:w="1642"/>
        <w:gridCol w:w="7515"/>
      </w:tblGrid>
      <w:tr w14:paraId="016B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exact"/>
          <w:jc w:val="center"/>
        </w:trPr>
        <w:tc>
          <w:tcPr>
            <w:tcW w:w="1642" w:type="dxa"/>
            <w:noWrap w:val="0"/>
            <w:vAlign w:val="top"/>
          </w:tcPr>
          <w:p w14:paraId="04ECDC29">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项目名称</w:t>
            </w:r>
          </w:p>
        </w:tc>
        <w:tc>
          <w:tcPr>
            <w:tcW w:w="7515" w:type="dxa"/>
            <w:noWrap w:val="0"/>
            <w:vAlign w:val="top"/>
          </w:tcPr>
          <w:p w14:paraId="0B4DCF7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24"/>
                <w:szCs w:val="24"/>
                <w:highlight w:val="none"/>
              </w:rPr>
            </w:pPr>
            <w:r>
              <w:rPr>
                <w:rFonts w:hint="eastAsia" w:ascii="仿宋" w:hAnsi="仿宋" w:eastAsia="仿宋" w:cs="仿宋"/>
                <w:b/>
                <w:bCs/>
                <w:sz w:val="24"/>
                <w:szCs w:val="24"/>
                <w:highlight w:val="none"/>
              </w:rPr>
              <w:t>新型研究型大学（筹）项目</w:t>
            </w:r>
            <w:r>
              <w:rPr>
                <w:rFonts w:hint="eastAsia" w:ascii="仿宋" w:hAnsi="仿宋" w:eastAsia="仿宋" w:cs="仿宋"/>
                <w:b/>
                <w:bCs/>
                <w:sz w:val="24"/>
                <w:szCs w:val="24"/>
                <w:highlight w:val="none"/>
                <w:lang w:eastAsia="zh-CN"/>
              </w:rPr>
              <w:t>首期</w:t>
            </w:r>
            <w:r>
              <w:rPr>
                <w:rFonts w:hint="eastAsia" w:ascii="仿宋" w:hAnsi="仿宋" w:eastAsia="仿宋" w:cs="仿宋"/>
                <w:b/>
                <w:bCs/>
                <w:sz w:val="24"/>
                <w:szCs w:val="24"/>
                <w:highlight w:val="none"/>
                <w:lang w:val="en-US" w:eastAsia="zh-CN"/>
              </w:rPr>
              <w:t>工程</w:t>
            </w:r>
            <w:r>
              <w:rPr>
                <w:rFonts w:hint="eastAsia" w:ascii="仿宋" w:hAnsi="仿宋" w:eastAsia="仿宋" w:cs="仿宋"/>
                <w:b/>
                <w:bCs/>
                <w:sz w:val="24"/>
                <w:szCs w:val="24"/>
                <w:highlight w:val="none"/>
              </w:rPr>
              <w:t>水土保持方案编制服务项目</w:t>
            </w:r>
          </w:p>
        </w:tc>
      </w:tr>
      <w:tr w14:paraId="255C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443" w:hRule="exact"/>
          <w:jc w:val="center"/>
        </w:trPr>
        <w:tc>
          <w:tcPr>
            <w:tcW w:w="1642" w:type="dxa"/>
            <w:noWrap w:val="0"/>
            <w:vAlign w:val="center"/>
          </w:tcPr>
          <w:p w14:paraId="558BEE26">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报价</w:t>
            </w:r>
            <w:r>
              <w:rPr>
                <w:rFonts w:hint="eastAsia" w:ascii="仿宋_GB2312" w:hAnsi="仿宋_GB2312" w:eastAsia="仿宋_GB2312" w:cs="仿宋_GB2312"/>
                <w:b/>
                <w:bCs/>
                <w:sz w:val="24"/>
                <w:szCs w:val="24"/>
                <w:highlight w:val="none"/>
              </w:rPr>
              <w:t>人名称</w:t>
            </w:r>
          </w:p>
        </w:tc>
        <w:tc>
          <w:tcPr>
            <w:tcW w:w="7515" w:type="dxa"/>
            <w:noWrap w:val="0"/>
            <w:vAlign w:val="center"/>
          </w:tcPr>
          <w:p w14:paraId="51B702FF">
            <w:pPr>
              <w:keepNext w:val="0"/>
              <w:keepLines w:val="0"/>
              <w:pageBreakBefore w:val="0"/>
              <w:widowControl/>
              <w:kinsoku/>
              <w:wordWrap/>
              <w:overflowPunct/>
              <w:topLinePunct w:val="0"/>
              <w:autoSpaceDE/>
              <w:autoSpaceDN/>
              <w:bidi w:val="0"/>
              <w:adjustRightInd/>
              <w:snapToGrid/>
              <w:ind w:firstLine="482" w:firstLineChars="200"/>
              <w:jc w:val="center"/>
              <w:textAlignment w:val="auto"/>
              <w:rPr>
                <w:rFonts w:hint="eastAsia" w:ascii="仿宋_GB2312" w:hAnsi="仿宋_GB2312" w:eastAsia="仿宋_GB2312" w:cs="仿宋_GB2312"/>
                <w:b/>
                <w:bCs/>
                <w:sz w:val="24"/>
                <w:szCs w:val="24"/>
                <w:highlight w:val="none"/>
                <w:lang w:val="en-US" w:eastAsia="zh-CN"/>
              </w:rPr>
            </w:pPr>
          </w:p>
        </w:tc>
      </w:tr>
      <w:tr w14:paraId="1509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3661" w:hRule="exact"/>
          <w:jc w:val="center"/>
        </w:trPr>
        <w:tc>
          <w:tcPr>
            <w:tcW w:w="1642" w:type="dxa"/>
            <w:noWrap w:val="0"/>
            <w:vAlign w:val="center"/>
          </w:tcPr>
          <w:p w14:paraId="2888EB76">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项目概况</w:t>
            </w:r>
          </w:p>
        </w:tc>
        <w:tc>
          <w:tcPr>
            <w:tcW w:w="7515" w:type="dxa"/>
            <w:noWrap w:val="0"/>
            <w:vAlign w:val="center"/>
          </w:tcPr>
          <w:p w14:paraId="5322193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首期工程位于郑州航空港经济综合实验区淮海路以南，嘉莲东路以北，双鹤街－雍州路以西，鹤立北街－鹤首西路－鹤西环路－高河路－梅河路以东。首期工程包括六个地块（详见附图1），总占地约473亩，已规划总用地面积246906.05㎡，总建筑面积230669.70㎡，地上建筑面积204054.50㎡，地下建筑面积26615.24㎡，其中人防兼地下车库22800.00㎡。机动车停车位722个，地上机动车停车位212个，地下机动车停车位510个；非机动车停车位5190个。未定规划用地面积68912.47㎡（地块六）。</w:t>
            </w:r>
          </w:p>
        </w:tc>
      </w:tr>
      <w:tr w14:paraId="0806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716" w:hRule="atLeast"/>
          <w:jc w:val="center"/>
        </w:trPr>
        <w:tc>
          <w:tcPr>
            <w:tcW w:w="1642" w:type="dxa"/>
            <w:noWrap w:val="0"/>
            <w:vAlign w:val="center"/>
          </w:tcPr>
          <w:p w14:paraId="59C92F82">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含税价</w:t>
            </w:r>
          </w:p>
        </w:tc>
        <w:tc>
          <w:tcPr>
            <w:tcW w:w="7515" w:type="dxa"/>
            <w:noWrap w:val="0"/>
            <w:vAlign w:val="center"/>
          </w:tcPr>
          <w:p w14:paraId="2A9F69F1">
            <w:pPr>
              <w:pStyle w:val="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100"/>
              <w:jc w:val="both"/>
              <w:textAlignment w:val="auto"/>
              <w:rPr>
                <w:rFonts w:hint="eastAsia" w:ascii="仿宋" w:hAnsi="仿宋" w:cs="仿宋"/>
                <w:sz w:val="24"/>
                <w:szCs w:val="24"/>
                <w:highlight w:val="none"/>
                <w:u w:val="none"/>
                <w:lang w:val="en-US" w:eastAsia="zh-CN"/>
              </w:rPr>
            </w:pPr>
            <w:r>
              <w:rPr>
                <w:rFonts w:hint="eastAsia" w:ascii="仿宋" w:hAnsi="仿宋" w:eastAsia="仿宋" w:cs="仿宋"/>
                <w:sz w:val="24"/>
                <w:szCs w:val="24"/>
                <w:highlight w:val="none"/>
                <w:u w:val="none"/>
                <w:lang w:val="en-US" w:eastAsia="zh-CN"/>
              </w:rPr>
              <w:t>报价</w:t>
            </w:r>
            <w:r>
              <w:rPr>
                <w:rFonts w:hint="eastAsia" w:ascii="仿宋_GB2312" w:hAnsi="仿宋_GB2312" w:eastAsia="仿宋_GB2312" w:cs="仿宋_GB2312"/>
                <w:sz w:val="24"/>
                <w:szCs w:val="24"/>
                <w:highlight w:val="none"/>
                <w:u w:val="single"/>
                <w:lang w:val="en-US" w:eastAsia="zh-CN"/>
              </w:rPr>
              <w:t xml:space="preserve">             </w:t>
            </w:r>
            <w:r>
              <w:rPr>
                <w:rFonts w:hint="eastAsia" w:ascii="仿宋" w:hAnsi="仿宋" w:eastAsia="仿宋" w:cs="仿宋"/>
                <w:sz w:val="24"/>
                <w:szCs w:val="24"/>
                <w:highlight w:val="none"/>
                <w:u w:val="none"/>
                <w:lang w:val="en-US" w:eastAsia="zh-CN"/>
              </w:rPr>
              <w:t>元</w:t>
            </w:r>
            <w:r>
              <w:rPr>
                <w:rFonts w:hint="eastAsia" w:ascii="仿宋" w:hAnsi="仿宋" w:cs="仿宋"/>
                <w:sz w:val="24"/>
                <w:szCs w:val="24"/>
                <w:highlight w:val="none"/>
                <w:u w:val="none"/>
                <w:lang w:val="en-US" w:eastAsia="zh-CN"/>
              </w:rPr>
              <w:t>（大写：</w:t>
            </w:r>
            <w:r>
              <w:rPr>
                <w:rFonts w:hint="eastAsia" w:ascii="仿宋" w:hAnsi="仿宋" w:cs="仿宋"/>
                <w:sz w:val="24"/>
                <w:szCs w:val="24"/>
                <w:highlight w:val="none"/>
                <w:u w:val="single"/>
                <w:lang w:val="en-US" w:eastAsia="zh-CN"/>
              </w:rPr>
              <w:t xml:space="preserve">              </w:t>
            </w:r>
            <w:r>
              <w:rPr>
                <w:rFonts w:hint="eastAsia" w:ascii="仿宋" w:hAnsi="仿宋" w:cs="仿宋"/>
                <w:sz w:val="24"/>
                <w:szCs w:val="24"/>
                <w:highlight w:val="none"/>
                <w:u w:val="none"/>
                <w:lang w:val="en-US" w:eastAsia="zh-CN"/>
              </w:rPr>
              <w:t>），</w:t>
            </w:r>
          </w:p>
          <w:p w14:paraId="7AAB511F">
            <w:pPr>
              <w:pStyle w:val="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100"/>
              <w:jc w:val="both"/>
              <w:textAlignment w:val="auto"/>
              <w:rPr>
                <w:rFonts w:hint="eastAsia" w:ascii="仿宋_GB2312" w:hAnsi="仿宋_GB2312" w:eastAsia="仿宋_GB2312" w:cs="仿宋_GB2312"/>
                <w:sz w:val="24"/>
                <w:szCs w:val="24"/>
                <w:highlight w:val="none"/>
                <w:u w:val="none"/>
                <w:lang w:val="en-US" w:eastAsia="zh-CN"/>
              </w:rPr>
            </w:pPr>
            <w:r>
              <w:rPr>
                <w:rFonts w:hint="eastAsia" w:ascii="仿宋" w:hAnsi="仿宋" w:cs="仿宋"/>
                <w:sz w:val="24"/>
                <w:szCs w:val="24"/>
                <w:highlight w:val="none"/>
                <w:u w:val="none"/>
                <w:lang w:val="en-US" w:eastAsia="zh-CN"/>
              </w:rPr>
              <w:t>税率</w:t>
            </w:r>
            <w:r>
              <w:rPr>
                <w:rFonts w:hint="eastAsia" w:ascii="仿宋_GB2312" w:hAnsi="仿宋_GB2312" w:eastAsia="仿宋_GB2312" w:cs="仿宋_GB2312"/>
                <w:sz w:val="24"/>
                <w:szCs w:val="24"/>
                <w:highlight w:val="none"/>
                <w:u w:val="single"/>
                <w:lang w:val="en-US" w:eastAsia="zh-CN"/>
              </w:rPr>
              <w:t xml:space="preserve">     </w:t>
            </w:r>
            <w:r>
              <w:rPr>
                <w:rFonts w:hint="eastAsia" w:ascii="仿宋" w:hAnsi="仿宋" w:eastAsia="仿宋" w:cs="仿宋"/>
                <w:sz w:val="24"/>
                <w:szCs w:val="24"/>
                <w:highlight w:val="none"/>
                <w:u w:val="none"/>
                <w:lang w:val="en-US" w:eastAsia="zh-CN"/>
              </w:rPr>
              <w:t>。</w:t>
            </w:r>
          </w:p>
        </w:tc>
      </w:tr>
      <w:tr w14:paraId="4124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cantSplit/>
          <w:trHeight w:val="1018" w:hRule="atLeast"/>
          <w:jc w:val="center"/>
        </w:trPr>
        <w:tc>
          <w:tcPr>
            <w:tcW w:w="1642" w:type="dxa"/>
            <w:noWrap w:val="0"/>
            <w:vAlign w:val="center"/>
          </w:tcPr>
          <w:p w14:paraId="60453956">
            <w:pPr>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lang w:val="en-US" w:eastAsia="zh-CN"/>
              </w:rPr>
              <w:t>质量标准</w:t>
            </w:r>
          </w:p>
        </w:tc>
        <w:tc>
          <w:tcPr>
            <w:tcW w:w="7515" w:type="dxa"/>
            <w:noWrap w:val="0"/>
            <w:vAlign w:val="center"/>
          </w:tcPr>
          <w:p w14:paraId="42E71493">
            <w:pPr>
              <w:keepNext w:val="0"/>
              <w:keepLines w:val="0"/>
              <w:pageBreakBefore w:val="0"/>
              <w:widowControl/>
              <w:kinsoku/>
              <w:wordWrap/>
              <w:overflowPunct/>
              <w:topLinePunct w:val="0"/>
              <w:autoSpaceDE/>
              <w:autoSpaceDN/>
              <w:bidi w:val="0"/>
              <w:adjustRightInd/>
              <w:snapToGrid/>
              <w:spacing w:after="0" w:line="48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应符合中华人民共和国国家标准《开发建设项目水土保持技术规范》（GB50433-2008）、《生产建设项目水土流失防治标准》（GB/T50434-2018）、中华人民共和国水利行业标准《水土保持监测技术规程》（SL277-2002）及委托人所在地相关审批部门的规定。</w:t>
            </w:r>
          </w:p>
        </w:tc>
      </w:tr>
      <w:tr w14:paraId="7C03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cantSplit/>
          <w:trHeight w:val="641" w:hRule="atLeast"/>
          <w:jc w:val="center"/>
        </w:trPr>
        <w:tc>
          <w:tcPr>
            <w:tcW w:w="1642" w:type="dxa"/>
            <w:noWrap w:val="0"/>
            <w:vAlign w:val="center"/>
          </w:tcPr>
          <w:p w14:paraId="23E3483F">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需要说明</w:t>
            </w:r>
          </w:p>
          <w:p w14:paraId="1878DC5C">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的问题</w:t>
            </w:r>
          </w:p>
        </w:tc>
        <w:tc>
          <w:tcPr>
            <w:tcW w:w="7515" w:type="dxa"/>
            <w:noWrap w:val="0"/>
            <w:vAlign w:val="center"/>
          </w:tcPr>
          <w:p w14:paraId="7B66CDAF">
            <w:pPr>
              <w:keepNext w:val="0"/>
              <w:keepLines w:val="0"/>
              <w:pageBreakBefore w:val="0"/>
              <w:widowControl/>
              <w:numPr>
                <w:ilvl w:val="0"/>
                <w:numId w:val="1"/>
              </w:numPr>
              <w:kinsoku/>
              <w:wordWrap/>
              <w:overflowPunct/>
              <w:topLinePunct w:val="0"/>
              <w:autoSpaceDE/>
              <w:autoSpaceDN/>
              <w:bidi w:val="0"/>
              <w:adjustRightInd/>
              <w:snapToGrid/>
              <w:spacing w:after="0" w:line="480" w:lineRule="exact"/>
              <w:ind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询价内容包括：新型研究型大学（筹）项目首期水土保持方案编制、监测、监理、验收、评审、报批等。</w:t>
            </w:r>
          </w:p>
          <w:p w14:paraId="3681776D">
            <w:pPr>
              <w:keepNext w:val="0"/>
              <w:keepLines w:val="0"/>
              <w:pageBreakBefore w:val="0"/>
              <w:widowControl/>
              <w:numPr>
                <w:ilvl w:val="0"/>
                <w:numId w:val="1"/>
              </w:numPr>
              <w:kinsoku/>
              <w:wordWrap/>
              <w:overflowPunct/>
              <w:topLinePunct w:val="0"/>
              <w:autoSpaceDE/>
              <w:autoSpaceDN/>
              <w:bidi w:val="0"/>
              <w:adjustRightInd/>
              <w:snapToGrid/>
              <w:spacing w:after="0" w:line="480" w:lineRule="exact"/>
              <w:ind w:left="0" w:leftChars="0" w:firstLine="480" w:firstLineChars="200"/>
              <w:jc w:val="both"/>
              <w:textAlignment w:val="auto"/>
              <w:rPr>
                <w:rFonts w:hint="default"/>
                <w:lang w:val="en-US" w:eastAsia="zh-CN"/>
              </w:rPr>
            </w:pPr>
            <w:r>
              <w:rPr>
                <w:rFonts w:hint="default" w:ascii="仿宋" w:hAnsi="仿宋" w:eastAsia="仿宋" w:cs="仿宋"/>
                <w:kern w:val="2"/>
                <w:sz w:val="24"/>
                <w:szCs w:val="24"/>
                <w:highlight w:val="none"/>
                <w:lang w:val="en-US" w:eastAsia="zh-CN" w:bidi="ar-SA"/>
              </w:rPr>
              <w:t>本次询价仅为初步询价，不确定中标单位。</w:t>
            </w:r>
          </w:p>
        </w:tc>
      </w:tr>
    </w:tbl>
    <w:p w14:paraId="49B55525">
      <w:pPr>
        <w:spacing w:line="480" w:lineRule="auto"/>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报价人：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 xml:space="preserve">（盖单位公章）         </w:t>
      </w:r>
    </w:p>
    <w:p w14:paraId="7E4CB878">
      <w:pPr>
        <w:spacing w:line="480" w:lineRule="auto"/>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日期： 2026年  月</w:t>
      </w:r>
      <w:r>
        <w:rPr>
          <w:rFonts w:hint="eastAsia" w:ascii="仿宋_GB2312" w:hAnsi="仿宋_GB2312" w:eastAsia="仿宋_GB2312" w:cs="仿宋_GB2312"/>
          <w:sz w:val="32"/>
          <w:szCs w:val="32"/>
          <w:highlight w:val="none"/>
          <w:u w:val="none"/>
          <w:lang w:val="en-US" w:eastAsia="zh-CN"/>
        </w:rPr>
        <w:t xml:space="preserve">  </w:t>
      </w:r>
      <w:r>
        <w:rPr>
          <w:rFonts w:hint="eastAsia" w:ascii="仿宋_GB2312" w:hAnsi="仿宋_GB2312" w:eastAsia="仿宋_GB2312" w:cs="仿宋_GB2312"/>
          <w:sz w:val="32"/>
          <w:szCs w:val="32"/>
          <w:highlight w:val="none"/>
          <w:lang w:val="en-US" w:eastAsia="zh-CN"/>
        </w:rPr>
        <w:t>日</w:t>
      </w:r>
    </w:p>
    <w:p w14:paraId="1DAB7B42">
      <w:pPr>
        <w:spacing w:line="480" w:lineRule="auto"/>
        <w:jc w:val="both"/>
        <w:rPr>
          <w:rFonts w:hint="default" w:ascii="仿宋_GB2312" w:hAnsi="仿宋_GB2312" w:eastAsia="仿宋_GB2312" w:cs="仿宋_GB2312"/>
          <w:sz w:val="24"/>
          <w:szCs w:val="24"/>
          <w:highlight w:val="none"/>
          <w:lang w:val="en-US" w:eastAsia="zh-CN"/>
        </w:rPr>
      </w:pPr>
      <w:r>
        <w:rPr>
          <w:rFonts w:hint="default" w:ascii="黑体" w:hAnsi="宋体" w:eastAsia="黑体" w:cs="黑体"/>
          <w:i w:val="0"/>
          <w:iCs w:val="0"/>
          <w:caps w:val="0"/>
          <w:color w:val="000000"/>
          <w:spacing w:val="0"/>
          <w:sz w:val="32"/>
          <w:szCs w:val="32"/>
          <w:u w:val="none"/>
          <w:shd w:val="clear" w:fill="FFFFFF"/>
          <w:lang w:val="en-US" w:eastAsia="zh-CN"/>
        </w:rPr>
        <w:drawing>
          <wp:anchor distT="0" distB="0" distL="114300" distR="114300" simplePos="0" relativeHeight="251660288" behindDoc="0" locked="0" layoutInCell="1" allowOverlap="1">
            <wp:simplePos x="0" y="0"/>
            <wp:positionH relativeFrom="column">
              <wp:posOffset>24130</wp:posOffset>
            </wp:positionH>
            <wp:positionV relativeFrom="paragraph">
              <wp:posOffset>427355</wp:posOffset>
            </wp:positionV>
            <wp:extent cx="5271770" cy="5536565"/>
            <wp:effectExtent l="0" t="0" r="5080" b="6985"/>
            <wp:wrapNone/>
            <wp:docPr id="8" name="图片 8" descr="bba7ca3a4bff1ddbc0f886c44d722a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ba7ca3a4bff1ddbc0f886c44d722a9c"/>
                    <pic:cNvPicPr>
                      <a:picLocks noChangeAspect="1"/>
                    </pic:cNvPicPr>
                  </pic:nvPicPr>
                  <pic:blipFill>
                    <a:blip r:embed="rId8"/>
                    <a:stretch>
                      <a:fillRect/>
                    </a:stretch>
                  </pic:blipFill>
                  <pic:spPr>
                    <a:xfrm>
                      <a:off x="0" y="0"/>
                      <a:ext cx="5271770" cy="5536565"/>
                    </a:xfrm>
                    <a:prstGeom prst="rect">
                      <a:avLst/>
                    </a:prstGeom>
                  </pic:spPr>
                </pic:pic>
              </a:graphicData>
            </a:graphic>
          </wp:anchor>
        </w:drawing>
      </w:r>
      <w:r>
        <w:rPr>
          <w:rFonts w:hint="eastAsia" w:ascii="仿宋_GB2312" w:hAnsi="仿宋_GB2312" w:eastAsia="仿宋_GB2312" w:cs="仿宋_GB2312"/>
          <w:sz w:val="32"/>
          <w:szCs w:val="32"/>
          <w:highlight w:val="none"/>
          <w:u w:val="none"/>
          <w:lang w:val="en-US" w:eastAsia="zh-CN"/>
        </w:rPr>
        <w:t>附图1：首期工程地块定位图</w:t>
      </w:r>
    </w:p>
    <w:p w14:paraId="231CCF8D">
      <w:pPr>
        <w:spacing w:line="480" w:lineRule="auto"/>
        <w:jc w:val="both"/>
        <w:rPr>
          <w:rFonts w:hint="eastAsia" w:ascii="仿宋_GB2312" w:hAnsi="仿宋_GB2312" w:eastAsia="仿宋_GB2312" w:cs="仿宋_GB2312"/>
          <w:sz w:val="32"/>
          <w:szCs w:val="32"/>
          <w:highlight w:val="none"/>
          <w:u w:val="none"/>
          <w:lang w:val="en-US" w:eastAsia="zh-CN"/>
        </w:rPr>
        <w:sectPr>
          <w:footerReference r:id="rId5" w:type="default"/>
          <w:pgSz w:w="11906" w:h="16838"/>
          <w:pgMar w:top="2098" w:right="1474" w:bottom="1984" w:left="1587" w:header="851" w:footer="1247" w:gutter="0"/>
          <w:cols w:space="425" w:num="1"/>
          <w:docGrid w:type="lines" w:linePitch="312" w:charSpace="0"/>
        </w:sectPr>
      </w:pPr>
    </w:p>
    <w:p w14:paraId="64142A5E">
      <w:pPr>
        <w:spacing w:line="480" w:lineRule="auto"/>
        <w:jc w:val="left"/>
        <w:rPr>
          <w:rFonts w:eastAsia="黑体"/>
          <w:sz w:val="28"/>
          <w:szCs w:val="28"/>
        </w:rPr>
      </w:pPr>
      <w:r>
        <w:rPr>
          <w:rFonts w:hint="eastAsia" w:ascii="仿宋_GB2312" w:hAnsi="仿宋_GB2312" w:eastAsia="仿宋_GB2312" w:cs="仿宋_GB2312"/>
          <w:sz w:val="32"/>
          <w:szCs w:val="32"/>
          <w:highlight w:val="none"/>
          <w:u w:val="none"/>
          <w:lang w:val="en-US" w:eastAsia="zh-CN"/>
        </w:rPr>
        <w:t xml:space="preserve">附件2：参考合同文本  </w:t>
      </w:r>
      <w:r>
        <w:rPr>
          <w:rFonts w:eastAsia="黑体"/>
          <w:sz w:val="28"/>
          <w:szCs w:val="28"/>
        </w:rPr>
        <w:t xml:space="preserve">                      </w:t>
      </w:r>
    </w:p>
    <w:p w14:paraId="2F6BD5C7">
      <w:pPr>
        <w:spacing w:line="480" w:lineRule="auto"/>
        <w:ind w:firstLine="560" w:firstLineChars="200"/>
        <w:jc w:val="center"/>
        <w:rPr>
          <w:rFonts w:eastAsia="黑体"/>
          <w:sz w:val="28"/>
          <w:szCs w:val="28"/>
          <w:u w:val="single"/>
        </w:rPr>
      </w:pPr>
      <w:r>
        <w:rPr>
          <w:rFonts w:hint="eastAsia" w:eastAsia="黑体"/>
          <w:sz w:val="28"/>
          <w:szCs w:val="28"/>
          <w:lang w:val="en-US" w:eastAsia="zh-CN"/>
        </w:rPr>
        <w:t xml:space="preserve">                      </w:t>
      </w:r>
      <w:r>
        <w:rPr>
          <w:rFonts w:eastAsia="黑体"/>
          <w:sz w:val="28"/>
          <w:szCs w:val="28"/>
        </w:rPr>
        <w:t>合同编号：</w:t>
      </w:r>
      <w:r>
        <w:rPr>
          <w:rFonts w:eastAsia="黑体"/>
          <w:sz w:val="28"/>
          <w:szCs w:val="28"/>
          <w:u w:val="single"/>
        </w:rPr>
        <w:t xml:space="preserve">            </w:t>
      </w:r>
    </w:p>
    <w:p w14:paraId="56F4FB99">
      <w:pPr>
        <w:spacing w:line="480" w:lineRule="auto"/>
        <w:ind w:firstLine="560" w:firstLineChars="200"/>
        <w:jc w:val="center"/>
        <w:rPr>
          <w:rFonts w:eastAsia="黑体"/>
          <w:sz w:val="28"/>
          <w:szCs w:val="28"/>
        </w:rPr>
      </w:pPr>
    </w:p>
    <w:p w14:paraId="0F65014A">
      <w:pPr>
        <w:spacing w:line="480" w:lineRule="auto"/>
        <w:ind w:firstLine="560" w:firstLineChars="200"/>
        <w:jc w:val="center"/>
        <w:rPr>
          <w:rFonts w:eastAsia="黑体"/>
          <w:sz w:val="28"/>
          <w:szCs w:val="28"/>
        </w:rPr>
      </w:pPr>
    </w:p>
    <w:p w14:paraId="30EF2C28">
      <w:pPr>
        <w:spacing w:line="480" w:lineRule="auto"/>
        <w:ind w:firstLine="560" w:firstLineChars="200"/>
        <w:jc w:val="center"/>
        <w:rPr>
          <w:rFonts w:eastAsia="黑体"/>
          <w:sz w:val="28"/>
          <w:szCs w:val="28"/>
        </w:rPr>
      </w:pPr>
    </w:p>
    <w:p w14:paraId="0CE7D91D">
      <w:pPr>
        <w:pStyle w:val="10"/>
        <w:ind w:left="0" w:leftChars="0" w:firstLine="0" w:firstLineChars="0"/>
      </w:pPr>
    </w:p>
    <w:p w14:paraId="3580ED60">
      <w:pPr>
        <w:pStyle w:val="10"/>
        <w:ind w:firstLine="210"/>
      </w:pPr>
    </w:p>
    <w:p w14:paraId="2E1F4C6D">
      <w:pPr>
        <w:pStyle w:val="10"/>
        <w:ind w:firstLine="210"/>
      </w:pPr>
    </w:p>
    <w:p w14:paraId="01C3AF31">
      <w:pPr>
        <w:spacing w:line="480" w:lineRule="auto"/>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项目咨询合同</w:t>
      </w:r>
    </w:p>
    <w:p w14:paraId="4B24AA1D">
      <w:pPr>
        <w:spacing w:line="480" w:lineRule="auto"/>
        <w:ind w:firstLine="560" w:firstLineChars="200"/>
        <w:jc w:val="center"/>
        <w:rPr>
          <w:rFonts w:eastAsia="黑体"/>
          <w:sz w:val="28"/>
          <w:szCs w:val="28"/>
        </w:rPr>
      </w:pPr>
    </w:p>
    <w:p w14:paraId="7998085B">
      <w:pPr>
        <w:spacing w:line="480" w:lineRule="auto"/>
        <w:jc w:val="left"/>
        <w:rPr>
          <w:rFonts w:eastAsia="黑体"/>
          <w:sz w:val="28"/>
          <w:szCs w:val="28"/>
        </w:rPr>
      </w:pPr>
    </w:p>
    <w:tbl>
      <w:tblPr>
        <w:tblStyle w:val="12"/>
        <w:tblW w:w="9073"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0"/>
        <w:gridCol w:w="6373"/>
      </w:tblGrid>
      <w:tr w14:paraId="036F6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700" w:type="dxa"/>
          </w:tcPr>
          <w:p w14:paraId="58857AA0">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项 目 名 称：</w:t>
            </w:r>
          </w:p>
        </w:tc>
        <w:tc>
          <w:tcPr>
            <w:tcW w:w="6373" w:type="dxa"/>
          </w:tcPr>
          <w:p w14:paraId="13BE37CD">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bCs/>
                <w:sz w:val="30"/>
                <w:szCs w:val="30"/>
                <w:u w:val="single"/>
              </w:rPr>
              <w:t>新型研究型大学（筹）项目</w:t>
            </w:r>
            <w:r>
              <w:rPr>
                <w:rFonts w:hint="eastAsia" w:ascii="楷体_GB2312" w:hAnsi="楷体_GB2312" w:eastAsia="楷体_GB2312" w:cs="楷体_GB2312"/>
                <w:bCs/>
                <w:sz w:val="30"/>
                <w:szCs w:val="30"/>
                <w:u w:val="single"/>
                <w:lang w:eastAsia="zh-CN"/>
              </w:rPr>
              <w:t>首期</w:t>
            </w:r>
            <w:r>
              <w:rPr>
                <w:rFonts w:hint="eastAsia" w:ascii="楷体_GB2312" w:hAnsi="楷体_GB2312" w:eastAsia="楷体_GB2312" w:cs="楷体_GB2312"/>
                <w:bCs/>
                <w:sz w:val="30"/>
                <w:szCs w:val="30"/>
                <w:u w:val="single"/>
                <w:lang w:val="en-US" w:eastAsia="zh-CN"/>
              </w:rPr>
              <w:t>工程</w:t>
            </w:r>
            <w:r>
              <w:rPr>
                <w:rFonts w:hint="eastAsia" w:ascii="楷体_GB2312" w:hAnsi="楷体_GB2312" w:eastAsia="楷体_GB2312" w:cs="楷体_GB2312"/>
                <w:bCs/>
                <w:sz w:val="30"/>
                <w:szCs w:val="30"/>
                <w:u w:val="single"/>
              </w:rPr>
              <w:t>水土保持方案编制服务</w:t>
            </w:r>
          </w:p>
        </w:tc>
      </w:tr>
      <w:tr w14:paraId="4BBFE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700" w:type="dxa"/>
          </w:tcPr>
          <w:p w14:paraId="63E728C9">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委托方（甲方）：</w:t>
            </w:r>
          </w:p>
        </w:tc>
        <w:tc>
          <w:tcPr>
            <w:tcW w:w="6373" w:type="dxa"/>
          </w:tcPr>
          <w:p w14:paraId="361481AF">
            <w:pPr>
              <w:spacing w:line="480" w:lineRule="auto"/>
              <w:jc w:val="left"/>
              <w:rPr>
                <w:rFonts w:hint="eastAsia" w:ascii="楷体_GB2312" w:hAnsi="楷体_GB2312" w:eastAsia="楷体_GB2312" w:cs="楷体_GB2312"/>
                <w:sz w:val="30"/>
                <w:szCs w:val="30"/>
                <w:u w:val="single"/>
              </w:rPr>
            </w:pPr>
            <w:r>
              <w:rPr>
                <w:rFonts w:hint="eastAsia" w:ascii="楷体_GB2312" w:hAnsi="楷体_GB2312" w:eastAsia="楷体_GB2312" w:cs="楷体_GB2312"/>
                <w:sz w:val="28"/>
                <w:szCs w:val="28"/>
                <w:u w:val="single"/>
              </w:rPr>
              <w:t xml:space="preserve">        </w:t>
            </w:r>
            <w:r>
              <w:rPr>
                <w:rFonts w:hint="eastAsia" w:ascii="楷体_GB2312" w:hAnsi="楷体_GB2312" w:eastAsia="楷体_GB2312" w:cs="楷体_GB2312"/>
                <w:sz w:val="28"/>
                <w:szCs w:val="28"/>
                <w:u w:val="single"/>
                <w:lang w:val="en-US" w:eastAsia="zh-CN"/>
              </w:rPr>
              <w:t xml:space="preserve">                  </w:t>
            </w:r>
          </w:p>
        </w:tc>
      </w:tr>
      <w:tr w14:paraId="79534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2700" w:type="dxa"/>
          </w:tcPr>
          <w:p w14:paraId="1C3AB268">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受托方（乙方）：</w:t>
            </w:r>
          </w:p>
        </w:tc>
        <w:tc>
          <w:tcPr>
            <w:tcW w:w="6373" w:type="dxa"/>
          </w:tcPr>
          <w:p w14:paraId="12DB1221">
            <w:pPr>
              <w:spacing w:line="480" w:lineRule="auto"/>
              <w:jc w:val="left"/>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30"/>
                <w:szCs w:val="30"/>
                <w:u w:val="single"/>
                <w:lang w:val="en-US" w:eastAsia="zh-CN"/>
              </w:rPr>
              <w:t xml:space="preserve">                        </w:t>
            </w:r>
          </w:p>
        </w:tc>
      </w:tr>
      <w:tr w14:paraId="0111F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2700" w:type="dxa"/>
          </w:tcPr>
          <w:p w14:paraId="0AE5B0A7">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签订地点：</w:t>
            </w:r>
          </w:p>
        </w:tc>
        <w:tc>
          <w:tcPr>
            <w:tcW w:w="6373" w:type="dxa"/>
          </w:tcPr>
          <w:p w14:paraId="28B69F81">
            <w:pPr>
              <w:spacing w:line="480" w:lineRule="auto"/>
              <w:jc w:val="left"/>
              <w:rPr>
                <w:rFonts w:hint="eastAsia" w:ascii="楷体_GB2312" w:hAnsi="楷体_GB2312" w:eastAsia="楷体_GB2312" w:cs="楷体_GB2312"/>
                <w:sz w:val="28"/>
                <w:szCs w:val="28"/>
                <w:u w:val="single"/>
              </w:rPr>
            </w:pPr>
            <w:r>
              <w:rPr>
                <w:rFonts w:hint="eastAsia" w:ascii="楷体_GB2312" w:hAnsi="楷体_GB2312" w:eastAsia="楷体_GB2312" w:cs="楷体_GB2312"/>
                <w:sz w:val="28"/>
                <w:szCs w:val="28"/>
                <w:u w:val="single"/>
              </w:rPr>
              <w:t>郑州市</w:t>
            </w:r>
          </w:p>
        </w:tc>
      </w:tr>
      <w:tr w14:paraId="7DD2A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700" w:type="dxa"/>
          </w:tcPr>
          <w:p w14:paraId="2869B874">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签订日期：</w:t>
            </w:r>
          </w:p>
        </w:tc>
        <w:tc>
          <w:tcPr>
            <w:tcW w:w="6373" w:type="dxa"/>
          </w:tcPr>
          <w:p w14:paraId="7AD5F987">
            <w:pPr>
              <w:spacing w:line="480" w:lineRule="auto"/>
              <w:jc w:val="left"/>
              <w:rPr>
                <w:rFonts w:hint="eastAsia" w:ascii="楷体_GB2312" w:hAnsi="楷体_GB2312" w:eastAsia="楷体_GB2312" w:cs="楷体_GB2312"/>
                <w:sz w:val="28"/>
                <w:szCs w:val="28"/>
                <w:u w:val="single"/>
              </w:rPr>
            </w:pPr>
            <w:r>
              <w:rPr>
                <w:rFonts w:hint="eastAsia" w:ascii="楷体_GB2312" w:hAnsi="楷体_GB2312" w:eastAsia="楷体_GB2312" w:cs="楷体_GB2312"/>
                <w:sz w:val="28"/>
                <w:szCs w:val="28"/>
                <w:u w:val="single"/>
              </w:rPr>
              <w:t>202</w:t>
            </w:r>
            <w:r>
              <w:rPr>
                <w:rFonts w:hint="eastAsia" w:ascii="楷体_GB2312" w:hAnsi="楷体_GB2312" w:eastAsia="楷体_GB2312" w:cs="楷体_GB2312"/>
                <w:sz w:val="28"/>
                <w:szCs w:val="28"/>
                <w:u w:val="single"/>
                <w:lang w:val="en-US" w:eastAsia="zh-CN"/>
              </w:rPr>
              <w:t>6</w:t>
            </w:r>
            <w:r>
              <w:rPr>
                <w:rFonts w:hint="eastAsia" w:ascii="楷体_GB2312" w:hAnsi="楷体_GB2312" w:eastAsia="楷体_GB2312" w:cs="楷体_GB2312"/>
                <w:sz w:val="28"/>
                <w:szCs w:val="28"/>
              </w:rPr>
              <w:t>年</w:t>
            </w:r>
            <w:r>
              <w:rPr>
                <w:rFonts w:hint="eastAsia" w:ascii="楷体_GB2312" w:hAnsi="楷体_GB2312" w:eastAsia="楷体_GB2312" w:cs="楷体_GB2312"/>
                <w:sz w:val="28"/>
                <w:szCs w:val="28"/>
                <w:u w:val="single"/>
              </w:rPr>
              <w:t xml:space="preserve">   </w:t>
            </w:r>
            <w:r>
              <w:rPr>
                <w:rFonts w:hint="eastAsia" w:ascii="楷体_GB2312" w:hAnsi="楷体_GB2312" w:eastAsia="楷体_GB2312" w:cs="楷体_GB2312"/>
                <w:sz w:val="28"/>
                <w:szCs w:val="28"/>
              </w:rPr>
              <w:t>月</w:t>
            </w:r>
            <w:r>
              <w:rPr>
                <w:rFonts w:hint="eastAsia" w:ascii="楷体_GB2312" w:hAnsi="楷体_GB2312" w:eastAsia="楷体_GB2312" w:cs="楷体_GB2312"/>
                <w:sz w:val="28"/>
                <w:szCs w:val="28"/>
                <w:u w:val="single"/>
              </w:rPr>
              <w:t xml:space="preserve">   </w:t>
            </w:r>
            <w:r>
              <w:rPr>
                <w:rFonts w:hint="eastAsia" w:ascii="楷体_GB2312" w:hAnsi="楷体_GB2312" w:eastAsia="楷体_GB2312" w:cs="楷体_GB2312"/>
                <w:sz w:val="28"/>
                <w:szCs w:val="28"/>
              </w:rPr>
              <w:t>日</w:t>
            </w:r>
          </w:p>
        </w:tc>
      </w:tr>
    </w:tbl>
    <w:p w14:paraId="3AAD4EC8">
      <w:pPr>
        <w:widowControl/>
        <w:spacing w:after="31" w:afterLines="10" w:line="480" w:lineRule="auto"/>
        <w:jc w:val="left"/>
        <w:rPr>
          <w:rFonts w:eastAsia="黑体"/>
          <w:sz w:val="30"/>
          <w:szCs w:val="30"/>
        </w:rPr>
        <w:sectPr>
          <w:footerReference r:id="rId6" w:type="default"/>
          <w:pgSz w:w="11906" w:h="16838"/>
          <w:pgMar w:top="1440" w:right="1800" w:bottom="1440" w:left="1800" w:header="851" w:footer="992" w:gutter="0"/>
          <w:cols w:space="425" w:num="1"/>
          <w:titlePg/>
          <w:docGrid w:type="lines" w:linePitch="312" w:charSpace="0"/>
        </w:sectPr>
      </w:pPr>
    </w:p>
    <w:p w14:paraId="25B4280C">
      <w:pPr>
        <w:spacing w:line="360" w:lineRule="auto"/>
        <w:ind w:firstLine="560" w:firstLineChars="200"/>
        <w:jc w:val="both"/>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甲 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14:paraId="0B712297">
      <w:pPr>
        <w:spacing w:line="360" w:lineRule="auto"/>
        <w:ind w:firstLine="560" w:firstLineChars="200"/>
        <w:jc w:val="both"/>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乙 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14:paraId="0E48A040">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根据询价响应文件、《中华人民共和国民法典》和有关法律法规，经双方协商一致签订本合同。</w:t>
      </w:r>
    </w:p>
    <w:p w14:paraId="13385CDE">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第一条 项目名称</w:t>
      </w:r>
    </w:p>
    <w:p w14:paraId="744F6B2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新型研究型大学（筹）项目</w:t>
      </w:r>
      <w:r>
        <w:rPr>
          <w:rFonts w:hint="eastAsia" w:ascii="仿宋_GB2312" w:hAnsi="仿宋_GB2312" w:eastAsia="仿宋_GB2312" w:cs="仿宋_GB2312"/>
          <w:sz w:val="28"/>
          <w:szCs w:val="28"/>
          <w:lang w:eastAsia="zh-CN"/>
        </w:rPr>
        <w:t>首期</w:t>
      </w:r>
      <w:r>
        <w:rPr>
          <w:rFonts w:hint="eastAsia" w:ascii="仿宋_GB2312" w:hAnsi="仿宋_GB2312" w:eastAsia="仿宋_GB2312" w:cs="仿宋_GB2312"/>
          <w:sz w:val="28"/>
          <w:szCs w:val="28"/>
          <w:lang w:val="en-US" w:eastAsia="zh-CN"/>
        </w:rPr>
        <w:t>工程</w:t>
      </w:r>
      <w:r>
        <w:rPr>
          <w:rFonts w:hint="eastAsia" w:ascii="仿宋_GB2312" w:hAnsi="仿宋_GB2312" w:eastAsia="仿宋_GB2312" w:cs="仿宋_GB2312"/>
          <w:sz w:val="28"/>
          <w:szCs w:val="28"/>
        </w:rPr>
        <w:t>水土保持方案编制服务</w:t>
      </w:r>
    </w:p>
    <w:p w14:paraId="25CF2524">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第二条 项目服务内容 </w:t>
      </w:r>
    </w:p>
    <w:p w14:paraId="16D0ABB9">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结合新型研究型大学（筹）项目</w:t>
      </w:r>
      <w:r>
        <w:rPr>
          <w:rFonts w:hint="eastAsia" w:ascii="仿宋_GB2312" w:hAnsi="仿宋_GB2312" w:eastAsia="仿宋_GB2312" w:cs="仿宋_GB2312"/>
          <w:sz w:val="28"/>
          <w:szCs w:val="28"/>
          <w:lang w:eastAsia="zh-CN"/>
        </w:rPr>
        <w:t>首期</w:t>
      </w:r>
      <w:r>
        <w:rPr>
          <w:rFonts w:hint="eastAsia" w:ascii="仿宋_GB2312" w:hAnsi="仿宋_GB2312" w:eastAsia="仿宋_GB2312" w:cs="仿宋_GB2312"/>
          <w:sz w:val="28"/>
          <w:szCs w:val="28"/>
          <w:lang w:val="en-US" w:eastAsia="zh-CN"/>
        </w:rPr>
        <w:t>工程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地块一、二、三、四、五、六）</w:t>
      </w:r>
      <w:r>
        <w:rPr>
          <w:rFonts w:hint="eastAsia" w:ascii="仿宋_GB2312" w:hAnsi="仿宋_GB2312" w:eastAsia="仿宋_GB2312" w:cs="仿宋_GB2312"/>
          <w:sz w:val="28"/>
          <w:szCs w:val="28"/>
        </w:rPr>
        <w:t>实际情况并进行调研分析，编制</w:t>
      </w:r>
      <w:r>
        <w:rPr>
          <w:rFonts w:hint="eastAsia" w:ascii="仿宋_GB2312" w:hAnsi="仿宋_GB2312" w:eastAsia="仿宋_GB2312" w:cs="仿宋_GB2312"/>
          <w:sz w:val="28"/>
          <w:szCs w:val="28"/>
          <w:lang w:eastAsia="zh-CN"/>
        </w:rPr>
        <w:t>首期</w:t>
      </w:r>
      <w:r>
        <w:rPr>
          <w:rFonts w:hint="eastAsia" w:ascii="仿宋_GB2312" w:hAnsi="仿宋_GB2312" w:eastAsia="仿宋_GB2312" w:cs="仿宋_GB2312"/>
          <w:sz w:val="28"/>
          <w:szCs w:val="28"/>
          <w:lang w:val="en-US" w:eastAsia="zh-CN"/>
        </w:rPr>
        <w:t>工程</w:t>
      </w:r>
      <w:r>
        <w:rPr>
          <w:rFonts w:hint="eastAsia" w:ascii="仿宋_GB2312" w:hAnsi="仿宋_GB2312" w:eastAsia="仿宋_GB2312" w:cs="仿宋_GB2312"/>
          <w:sz w:val="28"/>
          <w:szCs w:val="28"/>
        </w:rPr>
        <w:t>水土保持方案，并进行方案监测、监理、验收、评审、报批等服务。</w:t>
      </w:r>
    </w:p>
    <w:p w14:paraId="5E58A349">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第三条 作业依据</w:t>
      </w:r>
    </w:p>
    <w:p w14:paraId="097D0183">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根据《中华人民共和国水土保持法》等法律法规、《水土保持工程设计规范》等规范的要求。</w:t>
      </w:r>
    </w:p>
    <w:p w14:paraId="1BAFB7D6">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第四条 成果质量及服务期</w:t>
      </w:r>
    </w:p>
    <w:p w14:paraId="3F2C5DE4">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服务工期：河南黄河教育投资有限公司提供编制报告所需资料以后，乙方</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30个日历天内完成方案的编制工作；水土保持方案监测、监理随工程施工进行，随工程竣工时间结束本项所有工作内容；水土保持方案验收于工程竣工后一个月内结束本项所有工作。</w:t>
      </w:r>
    </w:p>
    <w:p w14:paraId="241AC2CE">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质量：符合中华人民共和国国家标准《生产建设项目水土保持技术标准》（GB 50433－2018）、《生产建设项目水土流失防治标准》</w:t>
      </w:r>
      <w:r>
        <w:rPr>
          <w:rFonts w:hint="eastAsia" w:ascii="仿宋_GB2312" w:hAnsi="仿宋_GB2312" w:eastAsia="仿宋_GB2312" w:cs="仿宋_GB2312"/>
          <w:sz w:val="28"/>
          <w:szCs w:val="28"/>
          <w:lang w:eastAsia="zh-CN"/>
        </w:rPr>
        <w:t>（GB/T50434-2018）</w:t>
      </w:r>
      <w:r>
        <w:rPr>
          <w:rFonts w:hint="eastAsia" w:ascii="仿宋_GB2312" w:hAnsi="仿宋_GB2312" w:eastAsia="仿宋_GB2312" w:cs="仿宋_GB2312"/>
          <w:sz w:val="28"/>
          <w:szCs w:val="28"/>
        </w:rPr>
        <w:t>、中华人民共和国水利行业标准《水土保持监测技术规程》</w:t>
      </w:r>
      <w:r>
        <w:rPr>
          <w:rFonts w:hint="eastAsia" w:ascii="仿宋_GB2312" w:hAnsi="仿宋_GB2312" w:eastAsia="仿宋_GB2312" w:cs="仿宋_GB2312"/>
          <w:sz w:val="28"/>
          <w:szCs w:val="28"/>
          <w:lang w:eastAsia="zh-CN"/>
        </w:rPr>
        <w:t>（SL277-2002）</w:t>
      </w:r>
      <w:r>
        <w:rPr>
          <w:rFonts w:hint="eastAsia" w:ascii="仿宋_GB2312" w:hAnsi="仿宋_GB2312" w:eastAsia="仿宋_GB2312" w:cs="仿宋_GB2312"/>
          <w:sz w:val="28"/>
          <w:szCs w:val="28"/>
        </w:rPr>
        <w:t>及委托人所在地相关审批部门的规定。</w:t>
      </w:r>
    </w:p>
    <w:p w14:paraId="4C6A4CFD">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第五条 项目费用及付款方式</w:t>
      </w:r>
    </w:p>
    <w:p w14:paraId="25186A8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项目总费用（大写）：</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元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元），其中不含税金额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元，税金</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元（税率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%）。包括水土保持方案编制、监测、监理、验收、评审、报批等所需的人工及成本费、税金等，以及受托人所有责任、义务和风险等所可能发生的一切费用。</w:t>
      </w:r>
    </w:p>
    <w:p w14:paraId="34BC07CD">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付款方式：（1）水土保持方案通过专家评审并取得郑州航空港经济综合实验区综合行政执法局（城市管理局）批复后支付合同金额的70%（¥</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元）；（2）项目完成备案后支付合同金额的30%（¥</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w:t>
      </w:r>
    </w:p>
    <w:p w14:paraId="2C840AE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在合同约定的每次付款前，乙方应先向甲方提供增值税专用发票，否则，甲方有权拒绝付款且不承担任何违约责任。乙方指定收款账户：</w:t>
      </w:r>
    </w:p>
    <w:p w14:paraId="60A2378C">
      <w:pPr>
        <w:spacing w:line="360" w:lineRule="auto"/>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户名：</w:t>
      </w:r>
      <w:r>
        <w:rPr>
          <w:rFonts w:hint="eastAsia" w:ascii="仿宋_GB2312" w:hAnsi="仿宋_GB2312" w:eastAsia="仿宋_GB2312" w:cs="仿宋_GB2312"/>
          <w:sz w:val="28"/>
          <w:szCs w:val="28"/>
          <w:lang w:val="en-US" w:eastAsia="zh-CN"/>
        </w:rPr>
        <w:t xml:space="preserve">                    </w:t>
      </w:r>
    </w:p>
    <w:p w14:paraId="35B5AF96">
      <w:pPr>
        <w:spacing w:line="360" w:lineRule="auto"/>
        <w:ind w:firstLine="560"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开户行：</w:t>
      </w:r>
      <w:r>
        <w:rPr>
          <w:rFonts w:hint="eastAsia" w:ascii="仿宋_GB2312" w:hAnsi="仿宋_GB2312" w:eastAsia="仿宋_GB2312" w:cs="仿宋_GB2312"/>
          <w:sz w:val="28"/>
          <w:szCs w:val="28"/>
          <w:lang w:val="en-US" w:eastAsia="zh-CN"/>
        </w:rPr>
        <w:t xml:space="preserve">                  </w:t>
      </w:r>
    </w:p>
    <w:p w14:paraId="29433C49">
      <w:pPr>
        <w:spacing w:line="360" w:lineRule="auto"/>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账户：</w:t>
      </w:r>
      <w:r>
        <w:rPr>
          <w:rFonts w:hint="eastAsia" w:ascii="仿宋_GB2312" w:hAnsi="仿宋_GB2312" w:eastAsia="仿宋_GB2312" w:cs="仿宋_GB2312"/>
          <w:sz w:val="28"/>
          <w:szCs w:val="28"/>
          <w:lang w:val="en-US" w:eastAsia="zh-CN"/>
        </w:rPr>
        <w:t xml:space="preserve">                    </w:t>
      </w:r>
    </w:p>
    <w:p w14:paraId="136C783E">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第六条 甲方义务与责任</w:t>
      </w:r>
    </w:p>
    <w:p w14:paraId="434D8D15">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自合同签订之日起20日内向乙方提交有关资料和提出技术要求。</w:t>
      </w:r>
      <w:bookmarkStart w:id="0" w:name="_Hlk171673879"/>
      <w:r>
        <w:rPr>
          <w:rFonts w:hint="eastAsia" w:ascii="仿宋_GB2312" w:hAnsi="仿宋_GB2312" w:eastAsia="仿宋_GB2312" w:cs="仿宋_GB2312"/>
          <w:sz w:val="28"/>
          <w:szCs w:val="28"/>
        </w:rPr>
        <w:t>（①项目前期文件主要包括：可行性研究报告及初步设计的批复文件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土地证、用地规划许可证、工程规划许可证等文件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②设计资料主要包括：工程设计方案及图纸、现状地形图或勘测定界图、</w:t>
      </w:r>
      <w:r>
        <w:rPr>
          <w:rFonts w:hint="eastAsia" w:ascii="仿宋_GB2312" w:hAnsi="仿宋_GB2312" w:eastAsia="仿宋_GB2312" w:cs="仿宋_GB2312"/>
          <w:sz w:val="28"/>
          <w:szCs w:val="28"/>
          <w:lang w:eastAsia="zh-CN"/>
        </w:rPr>
        <w:t>工程地质勘察报告</w:t>
      </w:r>
      <w:r>
        <w:rPr>
          <w:rFonts w:hint="eastAsia" w:ascii="仿宋_GB2312" w:hAnsi="仿宋_GB2312" w:eastAsia="仿宋_GB2312" w:cs="仿宋_GB2312"/>
          <w:sz w:val="28"/>
          <w:szCs w:val="28"/>
        </w:rPr>
        <w:t>等文件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③施工资料主要包括：现场施工布置图、工程土方挖填数量、工程施工计划进度以及施工过程中的供排水和供电情况。）</w:t>
      </w:r>
      <w:bookmarkEnd w:id="0"/>
    </w:p>
    <w:p w14:paraId="112A3F1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甲方应按照本合同约定支付合同价款。</w:t>
      </w:r>
    </w:p>
    <w:p w14:paraId="1CC219E3">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第七条 乙方义务与责任</w:t>
      </w:r>
    </w:p>
    <w:p w14:paraId="5D67E178">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自收到甲方的有关资料和技术要求之日起5日内，组织队伍进场作业。</w:t>
      </w:r>
    </w:p>
    <w:p w14:paraId="7541A7C9">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乙方应当根据合同及甲方要求，确保项目如期保质保量完成。保证后期跟踪服务以及与相关单位的配合。</w:t>
      </w:r>
    </w:p>
    <w:p w14:paraId="72CEB923">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乙方应服从甲方的监督，并进行合作。凡因乙方原因出现的成果质量问题，乙方无条件进行修改或返工，造成延期交付的并承担违约责任。</w:t>
      </w:r>
    </w:p>
    <w:p w14:paraId="7FA15BF0">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4.</w:t>
      </w:r>
      <w:r>
        <w:rPr>
          <w:rFonts w:hint="eastAsia" w:ascii="仿宋_GB2312" w:hAnsi="仿宋_GB2312" w:eastAsia="仿宋_GB2312" w:cs="仿宋_GB2312"/>
          <w:sz w:val="28"/>
          <w:szCs w:val="28"/>
        </w:rPr>
        <w:t>未经甲方允许，乙方不得将本合同标的的全部或部分转包给第三方。</w:t>
      </w:r>
    </w:p>
    <w:p w14:paraId="6C50F980">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5.</w:t>
      </w:r>
      <w:r>
        <w:rPr>
          <w:rFonts w:hint="eastAsia" w:ascii="仿宋_GB2312" w:hAnsi="仿宋_GB2312" w:eastAsia="仿宋_GB2312" w:cs="仿宋_GB2312"/>
          <w:sz w:val="28"/>
          <w:szCs w:val="28"/>
        </w:rPr>
        <w:t>乙方应按照合同约定向甲方提交水土保持方案、水土保持验收报告各 3 份，要求采用A4纸打印，胶装。</w:t>
      </w:r>
    </w:p>
    <w:p w14:paraId="7980925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6.</w:t>
      </w:r>
      <w:r>
        <w:rPr>
          <w:rFonts w:hint="eastAsia" w:ascii="仿宋_GB2312" w:hAnsi="仿宋_GB2312" w:eastAsia="仿宋_GB2312" w:cs="仿宋_GB2312"/>
          <w:sz w:val="28"/>
          <w:szCs w:val="28"/>
        </w:rPr>
        <w:t>乙方在项目水土保持方案监测、监理服务过程中，应当确保安全作业，因乙方原因</w:t>
      </w:r>
      <w:r>
        <w:rPr>
          <w:rFonts w:hint="eastAsia" w:ascii="仿宋_GB2312" w:hAnsi="仿宋_GB2312" w:eastAsia="仿宋_GB2312" w:cs="仿宋_GB2312"/>
          <w:sz w:val="28"/>
          <w:szCs w:val="28"/>
          <w:lang w:eastAsia="zh-CN"/>
        </w:rPr>
        <w:t>造成</w:t>
      </w:r>
      <w:r>
        <w:rPr>
          <w:rFonts w:hint="eastAsia" w:ascii="仿宋_GB2312" w:hAnsi="仿宋_GB2312" w:eastAsia="仿宋_GB2312" w:cs="仿宋_GB2312"/>
          <w:sz w:val="28"/>
          <w:szCs w:val="28"/>
        </w:rPr>
        <w:t>人身伤害或财产损失的，由乙方承担责任。</w:t>
      </w:r>
    </w:p>
    <w:p w14:paraId="547A2024">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第八条 技术成果资料的保密</w:t>
      </w:r>
    </w:p>
    <w:p w14:paraId="6C2FE283">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甲、乙双方应执行国家有关保密的法律法规，对成果资料进行保密，未经对方同意，任何一方均不得对对方的资料及文件擅自修改、复制或向第三人转让或用于本合同项</w:t>
      </w:r>
      <w:r>
        <w:rPr>
          <w:rFonts w:hint="eastAsia" w:ascii="仿宋_GB2312" w:hAnsi="仿宋_GB2312" w:eastAsia="仿宋_GB2312" w:cs="仿宋_GB2312"/>
          <w:sz w:val="28"/>
          <w:szCs w:val="28"/>
          <w:lang w:eastAsia="zh-CN"/>
        </w:rPr>
        <w:t>目以</w:t>
      </w:r>
      <w:r>
        <w:rPr>
          <w:rFonts w:hint="eastAsia" w:ascii="仿宋_GB2312" w:hAnsi="仿宋_GB2312" w:eastAsia="仿宋_GB2312" w:cs="仿宋_GB2312"/>
          <w:sz w:val="28"/>
          <w:szCs w:val="28"/>
        </w:rPr>
        <w:t>外的项目。如发生以上情况，泄密方承担一切由此引起的后果并承担赔偿责任。本条款不因本协议终止而终止。</w:t>
      </w:r>
    </w:p>
    <w:p w14:paraId="0411A8D7">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第九条 违约责任</w:t>
      </w:r>
    </w:p>
    <w:p w14:paraId="3486ED4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一方不履行合同义务、迟延履行、履行合同义务不符合合同规定的，应当承担继续履行、采取补救措施或赔偿损失等违约责任。</w:t>
      </w:r>
    </w:p>
    <w:p w14:paraId="3749F7A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乙方出具的水土保持方案、水土保持验收报告成果文件如因不符合技术规范、合同质量要求等原因而不能使用的，乙方应在甲方要求时限内采取补救措施。如采取补救措施后仍不能使用或不符合质量要求、未通过评审的，甲方有权单方解除本合同，拒绝支付任何费用（乙方应退回已收费用），并要求乙方按照合同全部费用的20%向甲方支付违约金。</w:t>
      </w:r>
    </w:p>
    <w:p w14:paraId="2BAF0F0C">
      <w:pPr>
        <w:spacing w:line="360" w:lineRule="auto"/>
        <w:ind w:firstLine="560"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3.乙方逾期未完成工作要求或未交付工作成果的，每逾期一天向甲方支付合同总额3‰的违约金。</w:t>
      </w:r>
    </w:p>
    <w:p w14:paraId="75E1147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4.</w:t>
      </w:r>
      <w:r>
        <w:rPr>
          <w:rFonts w:hint="eastAsia" w:ascii="仿宋_GB2312" w:hAnsi="仿宋_GB2312" w:eastAsia="仿宋_GB2312" w:cs="仿宋_GB2312"/>
          <w:sz w:val="28"/>
          <w:szCs w:val="28"/>
        </w:rPr>
        <w:t>因本合同发生纠纷的，违约方应赔偿给守约方造成的全部损失，包括但不限于资金利息损失、赔偿金、违约金、律师费、诉讼费、执行费、保全费、交通费等。</w:t>
      </w:r>
    </w:p>
    <w:p w14:paraId="56DB7358">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第十条 争议解决</w:t>
      </w:r>
    </w:p>
    <w:p w14:paraId="3BE4EDE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因本合同发生争议，由双方当事人协商解决或由双方主管部门调解，协商或调解不成的，可向项目所在地的人民法院起诉。</w:t>
      </w:r>
    </w:p>
    <w:p w14:paraId="5886B4B1">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第十一条 其他</w:t>
      </w:r>
    </w:p>
    <w:p w14:paraId="42CECFFB">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本合同由双方代表签字或盖章，并加盖双方公章或合同专用章即生效。</w:t>
      </w:r>
    </w:p>
    <w:p w14:paraId="130D9652">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未尽事宜，经双方协商一致，签订补充协议，补充协议与本合同具有同等效力。</w:t>
      </w:r>
    </w:p>
    <w:p w14:paraId="0B4C7BDE">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本合同一式</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捌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份，甲方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份，乙方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份，均具有同等法律效力。成果资料提交完毕和项目款全部结清后，本合同终止。</w:t>
      </w:r>
    </w:p>
    <w:p w14:paraId="1038B058">
      <w:pPr>
        <w:widowControl/>
        <w:jc w:val="left"/>
        <w:rPr>
          <w:sz w:val="28"/>
          <w:szCs w:val="28"/>
        </w:rPr>
      </w:pPr>
      <w:r>
        <w:rPr>
          <w:sz w:val="28"/>
          <w:szCs w:val="28"/>
        </w:rPr>
        <w:br w:type="page"/>
      </w:r>
    </w:p>
    <w:p w14:paraId="69D1D863">
      <w:pPr>
        <w:pStyle w:val="10"/>
        <w:spacing w:line="480" w:lineRule="auto"/>
        <w:ind w:firstLine="0" w:firstLineChars="0"/>
        <w:jc w:val="center"/>
        <w:rPr>
          <w:sz w:val="28"/>
          <w:szCs w:val="28"/>
        </w:rPr>
      </w:pPr>
      <w:r>
        <w:rPr>
          <w:sz w:val="28"/>
          <w:szCs w:val="28"/>
        </w:rPr>
        <w:t>（</w:t>
      </w:r>
      <w:r>
        <w:rPr>
          <w:rFonts w:hint="eastAsia"/>
          <w:sz w:val="28"/>
          <w:szCs w:val="28"/>
        </w:rPr>
        <w:t>本页</w:t>
      </w:r>
      <w:r>
        <w:rPr>
          <w:sz w:val="28"/>
          <w:szCs w:val="28"/>
        </w:rPr>
        <w:t>无</w:t>
      </w:r>
      <w:r>
        <w:rPr>
          <w:rFonts w:hint="eastAsia"/>
          <w:sz w:val="28"/>
          <w:szCs w:val="28"/>
        </w:rPr>
        <w:t>正</w:t>
      </w:r>
      <w:r>
        <w:rPr>
          <w:sz w:val="28"/>
          <w:szCs w:val="28"/>
        </w:rPr>
        <w:t>文，为双方签字盖章内容）</w:t>
      </w:r>
    </w:p>
    <w:p w14:paraId="3267458D">
      <w:pPr>
        <w:pStyle w:val="10"/>
        <w:spacing w:line="480" w:lineRule="auto"/>
        <w:ind w:firstLine="0" w:firstLineChars="0"/>
        <w:jc w:val="center"/>
        <w:rPr>
          <w:sz w:val="28"/>
          <w:szCs w:val="28"/>
        </w:rPr>
      </w:pPr>
    </w:p>
    <w:tbl>
      <w:tblPr>
        <w:tblStyle w:val="12"/>
        <w:tblW w:w="8935" w:type="dxa"/>
        <w:tblInd w:w="-7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55"/>
        <w:gridCol w:w="4380"/>
      </w:tblGrid>
      <w:tr w14:paraId="7D6C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4555" w:type="dxa"/>
          </w:tcPr>
          <w:p w14:paraId="3EE4082A">
            <w:pPr>
              <w:pStyle w:val="6"/>
              <w:rPr>
                <w:rFonts w:hint="eastAsia" w:ascii="楷体_GB2312" w:hAnsi="楷体_GB2312" w:eastAsia="楷体_GB2312" w:cs="楷体_GB2312"/>
              </w:rPr>
            </w:pPr>
            <w:r>
              <w:rPr>
                <w:rFonts w:hint="eastAsia" w:ascii="楷体_GB2312" w:hAnsi="楷体_GB2312" w:eastAsia="楷体_GB2312" w:cs="楷体_GB2312"/>
              </w:rPr>
              <w:t>甲方（公章）：</w:t>
            </w:r>
          </w:p>
        </w:tc>
        <w:tc>
          <w:tcPr>
            <w:tcW w:w="4380" w:type="dxa"/>
          </w:tcPr>
          <w:p w14:paraId="4D1A1A35">
            <w:pPr>
              <w:pStyle w:val="6"/>
              <w:rPr>
                <w:rFonts w:hint="eastAsia" w:ascii="楷体_GB2312" w:hAnsi="楷体_GB2312" w:eastAsia="楷体_GB2312" w:cs="楷体_GB2312"/>
              </w:rPr>
            </w:pPr>
            <w:r>
              <w:rPr>
                <w:rFonts w:hint="eastAsia" w:ascii="楷体_GB2312" w:hAnsi="楷体_GB2312" w:eastAsia="楷体_GB2312" w:cs="楷体_GB2312"/>
              </w:rPr>
              <w:t>乙方（公章）：</w:t>
            </w:r>
          </w:p>
        </w:tc>
      </w:tr>
      <w:tr w14:paraId="1D714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4555" w:type="dxa"/>
          </w:tcPr>
          <w:p w14:paraId="3FBDAD5E">
            <w:pPr>
              <w:pStyle w:val="6"/>
              <w:rPr>
                <w:rFonts w:hint="eastAsia" w:ascii="楷体_GB2312" w:hAnsi="楷体_GB2312" w:eastAsia="楷体_GB2312" w:cs="楷体_GB2312"/>
              </w:rPr>
            </w:pPr>
            <w:r>
              <w:rPr>
                <w:rFonts w:hint="eastAsia" w:ascii="楷体_GB2312" w:hAnsi="楷体_GB2312" w:eastAsia="楷体_GB2312" w:cs="楷体_GB2312"/>
              </w:rPr>
              <w:t xml:space="preserve">地址： </w:t>
            </w:r>
          </w:p>
        </w:tc>
        <w:tc>
          <w:tcPr>
            <w:tcW w:w="4380" w:type="dxa"/>
          </w:tcPr>
          <w:p w14:paraId="6AB0D892">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地址：</w:t>
            </w:r>
          </w:p>
        </w:tc>
      </w:tr>
      <w:tr w14:paraId="1455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55" w:type="dxa"/>
          </w:tcPr>
          <w:p w14:paraId="1DFE2DC7">
            <w:pPr>
              <w:pStyle w:val="6"/>
              <w:rPr>
                <w:rFonts w:hint="eastAsia" w:ascii="楷体_GB2312" w:hAnsi="楷体_GB2312" w:eastAsia="楷体_GB2312" w:cs="楷体_GB2312"/>
              </w:rPr>
            </w:pPr>
            <w:r>
              <w:rPr>
                <w:rFonts w:hint="eastAsia" w:ascii="楷体_GB2312" w:hAnsi="楷体_GB2312" w:eastAsia="楷体_GB2312" w:cs="楷体_GB2312"/>
              </w:rPr>
              <w:t xml:space="preserve">法定代表人： </w:t>
            </w:r>
          </w:p>
        </w:tc>
        <w:tc>
          <w:tcPr>
            <w:tcW w:w="4380" w:type="dxa"/>
          </w:tcPr>
          <w:p w14:paraId="3B2EFAB8">
            <w:pPr>
              <w:pStyle w:val="6"/>
              <w:rPr>
                <w:rFonts w:hint="eastAsia" w:ascii="楷体_GB2312" w:hAnsi="楷体_GB2312" w:eastAsia="楷体_GB2312" w:cs="楷体_GB2312"/>
              </w:rPr>
            </w:pPr>
            <w:r>
              <w:rPr>
                <w:rFonts w:hint="eastAsia" w:ascii="楷体_GB2312" w:hAnsi="楷体_GB2312" w:eastAsia="楷体_GB2312" w:cs="楷体_GB2312"/>
              </w:rPr>
              <w:t>法定代表人：</w:t>
            </w:r>
          </w:p>
        </w:tc>
      </w:tr>
      <w:tr w14:paraId="28B33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555" w:type="dxa"/>
          </w:tcPr>
          <w:p w14:paraId="22AC2FC5">
            <w:pPr>
              <w:pStyle w:val="6"/>
              <w:rPr>
                <w:rFonts w:hint="eastAsia" w:ascii="楷体_GB2312" w:hAnsi="楷体_GB2312" w:eastAsia="楷体_GB2312" w:cs="楷体_GB2312"/>
              </w:rPr>
            </w:pPr>
            <w:r>
              <w:rPr>
                <w:rFonts w:hint="eastAsia" w:ascii="楷体_GB2312" w:hAnsi="楷体_GB2312" w:eastAsia="楷体_GB2312" w:cs="楷体_GB2312"/>
              </w:rPr>
              <w:t>授权委托人：</w:t>
            </w:r>
          </w:p>
        </w:tc>
        <w:tc>
          <w:tcPr>
            <w:tcW w:w="4380" w:type="dxa"/>
          </w:tcPr>
          <w:p w14:paraId="42B15914">
            <w:pPr>
              <w:pStyle w:val="6"/>
              <w:rPr>
                <w:rFonts w:hint="eastAsia" w:ascii="楷体_GB2312" w:hAnsi="楷体_GB2312" w:eastAsia="楷体_GB2312" w:cs="楷体_GB2312"/>
              </w:rPr>
            </w:pPr>
            <w:r>
              <w:rPr>
                <w:rFonts w:hint="eastAsia" w:ascii="楷体_GB2312" w:hAnsi="楷体_GB2312" w:eastAsia="楷体_GB2312" w:cs="楷体_GB2312"/>
              </w:rPr>
              <w:t>授权委托人：</w:t>
            </w:r>
          </w:p>
        </w:tc>
      </w:tr>
      <w:tr w14:paraId="78DE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4555" w:type="dxa"/>
          </w:tcPr>
          <w:p w14:paraId="7F3E597B">
            <w:pPr>
              <w:pStyle w:val="6"/>
              <w:rPr>
                <w:rFonts w:hint="eastAsia" w:ascii="楷体_GB2312" w:hAnsi="楷体_GB2312" w:eastAsia="楷体_GB2312" w:cs="楷体_GB2312"/>
              </w:rPr>
            </w:pPr>
            <w:r>
              <w:rPr>
                <w:rFonts w:hint="eastAsia" w:ascii="楷体_GB2312" w:hAnsi="楷体_GB2312" w:eastAsia="楷体_GB2312" w:cs="楷体_GB2312"/>
              </w:rPr>
              <w:t>开户银行：</w:t>
            </w:r>
          </w:p>
        </w:tc>
        <w:tc>
          <w:tcPr>
            <w:tcW w:w="4380" w:type="dxa"/>
          </w:tcPr>
          <w:p w14:paraId="15FBD319">
            <w:pPr>
              <w:rPr>
                <w:rFonts w:hint="eastAsia" w:ascii="楷体_GB2312" w:hAnsi="楷体_GB2312" w:eastAsia="楷体_GB2312" w:cs="楷体_GB2312"/>
                <w:sz w:val="24"/>
              </w:rPr>
            </w:pPr>
            <w:r>
              <w:rPr>
                <w:rFonts w:hint="eastAsia" w:ascii="楷体_GB2312" w:hAnsi="楷体_GB2312" w:eastAsia="楷体_GB2312" w:cs="楷体_GB2312"/>
                <w:sz w:val="28"/>
                <w:szCs w:val="28"/>
              </w:rPr>
              <w:t>开户银行：</w:t>
            </w:r>
          </w:p>
        </w:tc>
      </w:tr>
      <w:tr w14:paraId="5CB8B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4555" w:type="dxa"/>
          </w:tcPr>
          <w:p w14:paraId="7F58A8A6">
            <w:pPr>
              <w:pStyle w:val="6"/>
              <w:rPr>
                <w:rFonts w:hint="eastAsia" w:ascii="楷体_GB2312" w:hAnsi="楷体_GB2312" w:eastAsia="楷体_GB2312" w:cs="楷体_GB2312"/>
              </w:rPr>
            </w:pPr>
            <w:r>
              <w:rPr>
                <w:rFonts w:hint="eastAsia" w:ascii="楷体_GB2312" w:hAnsi="楷体_GB2312" w:eastAsia="楷体_GB2312" w:cs="楷体_GB2312"/>
                <w:spacing w:val="6"/>
              </w:rPr>
              <w:t>账号：</w:t>
            </w:r>
            <w:r>
              <w:rPr>
                <w:rFonts w:hint="eastAsia" w:ascii="楷体_GB2312" w:hAnsi="楷体_GB2312" w:eastAsia="楷体_GB2312" w:cs="楷体_GB2312"/>
              </w:rPr>
              <w:t xml:space="preserve"> </w:t>
            </w:r>
          </w:p>
        </w:tc>
        <w:tc>
          <w:tcPr>
            <w:tcW w:w="4380" w:type="dxa"/>
          </w:tcPr>
          <w:p w14:paraId="074AD421">
            <w:pPr>
              <w:pStyle w:val="6"/>
              <w:rPr>
                <w:rFonts w:hint="eastAsia" w:ascii="楷体_GB2312" w:hAnsi="楷体_GB2312" w:eastAsia="楷体_GB2312" w:cs="楷体_GB2312"/>
              </w:rPr>
            </w:pPr>
            <w:r>
              <w:rPr>
                <w:rFonts w:hint="eastAsia" w:ascii="楷体_GB2312" w:hAnsi="楷体_GB2312" w:eastAsia="楷体_GB2312" w:cs="楷体_GB2312"/>
              </w:rPr>
              <w:t>账号：</w:t>
            </w:r>
          </w:p>
        </w:tc>
      </w:tr>
      <w:tr w14:paraId="31AFE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4555" w:type="dxa"/>
          </w:tcPr>
          <w:p w14:paraId="357D728E">
            <w:pPr>
              <w:pStyle w:val="6"/>
              <w:rPr>
                <w:rFonts w:hint="eastAsia" w:ascii="楷体_GB2312" w:hAnsi="楷体_GB2312" w:eastAsia="楷体_GB2312" w:cs="楷体_GB2312"/>
              </w:rPr>
            </w:pPr>
            <w:r>
              <w:rPr>
                <w:rFonts w:hint="eastAsia" w:ascii="楷体_GB2312" w:hAnsi="楷体_GB2312" w:eastAsia="楷体_GB2312" w:cs="楷体_GB2312"/>
              </w:rPr>
              <w:t>签约时间：202</w:t>
            </w:r>
            <w:r>
              <w:rPr>
                <w:rFonts w:hint="eastAsia" w:ascii="楷体_GB2312" w:hAnsi="楷体_GB2312" w:eastAsia="楷体_GB2312" w:cs="楷体_GB2312"/>
                <w:lang w:val="en-US" w:eastAsia="zh-CN"/>
              </w:rPr>
              <w:t>6</w:t>
            </w:r>
            <w:r>
              <w:rPr>
                <w:rFonts w:hint="eastAsia" w:ascii="楷体_GB2312" w:hAnsi="楷体_GB2312" w:eastAsia="楷体_GB2312" w:cs="楷体_GB2312"/>
              </w:rPr>
              <w:t>年  月  日</w:t>
            </w:r>
          </w:p>
        </w:tc>
        <w:tc>
          <w:tcPr>
            <w:tcW w:w="4380" w:type="dxa"/>
          </w:tcPr>
          <w:p w14:paraId="28A088E1">
            <w:pPr>
              <w:pStyle w:val="6"/>
              <w:rPr>
                <w:rFonts w:hint="eastAsia" w:ascii="楷体_GB2312" w:hAnsi="楷体_GB2312" w:eastAsia="楷体_GB2312" w:cs="楷体_GB2312"/>
              </w:rPr>
            </w:pPr>
            <w:r>
              <w:rPr>
                <w:rFonts w:hint="eastAsia" w:ascii="楷体_GB2312" w:hAnsi="楷体_GB2312" w:eastAsia="楷体_GB2312" w:cs="楷体_GB2312"/>
              </w:rPr>
              <w:t>签约时间：202</w:t>
            </w:r>
            <w:r>
              <w:rPr>
                <w:rFonts w:hint="eastAsia" w:ascii="楷体_GB2312" w:hAnsi="楷体_GB2312" w:eastAsia="楷体_GB2312" w:cs="楷体_GB2312"/>
                <w:lang w:val="en-US" w:eastAsia="zh-CN"/>
              </w:rPr>
              <w:t>6</w:t>
            </w:r>
            <w:r>
              <w:rPr>
                <w:rFonts w:hint="eastAsia" w:ascii="楷体_GB2312" w:hAnsi="楷体_GB2312" w:eastAsia="楷体_GB2312" w:cs="楷体_GB2312"/>
              </w:rPr>
              <w:t>年</w:t>
            </w:r>
            <w:r>
              <w:rPr>
                <w:rFonts w:hint="eastAsia" w:ascii="楷体_GB2312" w:hAnsi="楷体_GB2312" w:eastAsia="楷体_GB2312" w:cs="楷体_GB2312"/>
                <w:spacing w:val="26"/>
              </w:rPr>
              <w:t xml:space="preserve">  </w:t>
            </w:r>
            <w:r>
              <w:rPr>
                <w:rFonts w:hint="eastAsia" w:ascii="楷体_GB2312" w:hAnsi="楷体_GB2312" w:eastAsia="楷体_GB2312" w:cs="楷体_GB2312"/>
              </w:rPr>
              <w:t>月  日</w:t>
            </w:r>
          </w:p>
        </w:tc>
      </w:tr>
    </w:tbl>
    <w:p w14:paraId="529D886B">
      <w:pPr>
        <w:spacing w:line="480" w:lineRule="auto"/>
        <w:jc w:val="both"/>
        <w:rPr>
          <w:rFonts w:hint="default" w:ascii="仿宋_GB2312" w:hAnsi="仿宋_GB2312" w:eastAsia="仿宋_GB2312" w:cs="仿宋_GB2312"/>
          <w:sz w:val="24"/>
          <w:szCs w:val="24"/>
          <w:highlight w:val="none"/>
          <w:lang w:val="en-US" w:eastAsia="zh-CN"/>
        </w:rPr>
      </w:pPr>
    </w:p>
    <w:sectPr>
      <w:pgSz w:w="11906" w:h="16838"/>
      <w:pgMar w:top="2098" w:right="1474" w:bottom="1984" w:left="1587" w:header="851" w:footer="124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D3CB9E-2F2B-4A42-A2C4-48EEC49273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2" w:fontKey="{8B9629E6-937E-403F-B07A-5B95E09DBE91}"/>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58E6B3D3-9C46-42A2-8824-7017757E79C4}"/>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DE33C4C5-5B21-4DC0-AA65-6A91EEB24C78}"/>
  </w:font>
  <w:font w:name="楷体_GB2312">
    <w:panose1 w:val="02010609030101010101"/>
    <w:charset w:val="86"/>
    <w:family w:val="auto"/>
    <w:pitch w:val="default"/>
    <w:sig w:usb0="00000001" w:usb1="080E0000" w:usb2="00000000" w:usb3="00000000" w:csb0="00040000" w:csb1="00000000"/>
    <w:embedRegular r:id="rId5" w:fontKey="{70C1B196-74BA-471F-955B-88D85C335E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C760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E77FA">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0E77FA">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6048640"/>
    </w:sdtPr>
    <w:sdtEndPr>
      <w:rPr>
        <w:rFonts w:ascii="Times New Roman" w:hAnsi="Times New Roman" w:cs="Times New Roman"/>
      </w:rPr>
    </w:sdtEndPr>
    <w:sdtContent>
      <w:p w14:paraId="5A34E7CB">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4FFDD"/>
    <w:multiLevelType w:val="singleLevel"/>
    <w:tmpl w:val="AF24FFD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xNjMyOWFkMDljZTVkYTc4MTk2MDlkYmJlODhhOTYifQ=="/>
  </w:docVars>
  <w:rsids>
    <w:rsidRoot w:val="00F40F73"/>
    <w:rsid w:val="000200F8"/>
    <w:rsid w:val="00020BB2"/>
    <w:rsid w:val="000513EC"/>
    <w:rsid w:val="0006036F"/>
    <w:rsid w:val="00093025"/>
    <w:rsid w:val="000E0287"/>
    <w:rsid w:val="000F74D4"/>
    <w:rsid w:val="001300E8"/>
    <w:rsid w:val="00136743"/>
    <w:rsid w:val="00150BEC"/>
    <w:rsid w:val="0016385D"/>
    <w:rsid w:val="00170E31"/>
    <w:rsid w:val="00180A0A"/>
    <w:rsid w:val="00195A8A"/>
    <w:rsid w:val="001A4DB3"/>
    <w:rsid w:val="001A757A"/>
    <w:rsid w:val="001E001D"/>
    <w:rsid w:val="001E2C31"/>
    <w:rsid w:val="001E5F42"/>
    <w:rsid w:val="001E7E4D"/>
    <w:rsid w:val="002050FA"/>
    <w:rsid w:val="00210879"/>
    <w:rsid w:val="00226092"/>
    <w:rsid w:val="002328DA"/>
    <w:rsid w:val="00234B00"/>
    <w:rsid w:val="00250206"/>
    <w:rsid w:val="0026166E"/>
    <w:rsid w:val="002874C8"/>
    <w:rsid w:val="002914C1"/>
    <w:rsid w:val="00297ADC"/>
    <w:rsid w:val="002D7366"/>
    <w:rsid w:val="003069AD"/>
    <w:rsid w:val="003375D4"/>
    <w:rsid w:val="00346E8C"/>
    <w:rsid w:val="003571B0"/>
    <w:rsid w:val="003628C8"/>
    <w:rsid w:val="003834D4"/>
    <w:rsid w:val="00385797"/>
    <w:rsid w:val="00396498"/>
    <w:rsid w:val="003A1D9E"/>
    <w:rsid w:val="003A4A86"/>
    <w:rsid w:val="003B631C"/>
    <w:rsid w:val="003D58DD"/>
    <w:rsid w:val="003E02ED"/>
    <w:rsid w:val="00415675"/>
    <w:rsid w:val="004225A7"/>
    <w:rsid w:val="004233F1"/>
    <w:rsid w:val="00455587"/>
    <w:rsid w:val="00471C27"/>
    <w:rsid w:val="004921C8"/>
    <w:rsid w:val="004A475E"/>
    <w:rsid w:val="004D58D4"/>
    <w:rsid w:val="004F3D5F"/>
    <w:rsid w:val="005154BF"/>
    <w:rsid w:val="00552752"/>
    <w:rsid w:val="00574172"/>
    <w:rsid w:val="005930C9"/>
    <w:rsid w:val="00596F04"/>
    <w:rsid w:val="005A68F9"/>
    <w:rsid w:val="005B6CEE"/>
    <w:rsid w:val="005C0BF6"/>
    <w:rsid w:val="005C4728"/>
    <w:rsid w:val="0065195B"/>
    <w:rsid w:val="00654AE9"/>
    <w:rsid w:val="00664401"/>
    <w:rsid w:val="006776D6"/>
    <w:rsid w:val="006814C2"/>
    <w:rsid w:val="00697A27"/>
    <w:rsid w:val="006B0C0A"/>
    <w:rsid w:val="006B3C64"/>
    <w:rsid w:val="006B7CFB"/>
    <w:rsid w:val="006D2F4F"/>
    <w:rsid w:val="00710DEB"/>
    <w:rsid w:val="00753D2F"/>
    <w:rsid w:val="00773FED"/>
    <w:rsid w:val="007766CD"/>
    <w:rsid w:val="00781E5D"/>
    <w:rsid w:val="007B362F"/>
    <w:rsid w:val="007C3D0D"/>
    <w:rsid w:val="00803979"/>
    <w:rsid w:val="00823C18"/>
    <w:rsid w:val="008247CF"/>
    <w:rsid w:val="008410E9"/>
    <w:rsid w:val="008672AE"/>
    <w:rsid w:val="008752C9"/>
    <w:rsid w:val="008936EE"/>
    <w:rsid w:val="008E7D43"/>
    <w:rsid w:val="00912C07"/>
    <w:rsid w:val="009173CC"/>
    <w:rsid w:val="009268BE"/>
    <w:rsid w:val="00971557"/>
    <w:rsid w:val="00972F9E"/>
    <w:rsid w:val="0098685D"/>
    <w:rsid w:val="009873FC"/>
    <w:rsid w:val="009A09AE"/>
    <w:rsid w:val="009A0ABB"/>
    <w:rsid w:val="009B0AF3"/>
    <w:rsid w:val="009B4F95"/>
    <w:rsid w:val="009B786E"/>
    <w:rsid w:val="009C6C69"/>
    <w:rsid w:val="009E7313"/>
    <w:rsid w:val="009F7F50"/>
    <w:rsid w:val="00A05E14"/>
    <w:rsid w:val="00A40F15"/>
    <w:rsid w:val="00A42861"/>
    <w:rsid w:val="00A86B01"/>
    <w:rsid w:val="00A97E18"/>
    <w:rsid w:val="00AA6C47"/>
    <w:rsid w:val="00AB35D4"/>
    <w:rsid w:val="00AF793B"/>
    <w:rsid w:val="00B169CC"/>
    <w:rsid w:val="00B30DAD"/>
    <w:rsid w:val="00B87BC2"/>
    <w:rsid w:val="00BB6AFA"/>
    <w:rsid w:val="00C139DB"/>
    <w:rsid w:val="00C179E5"/>
    <w:rsid w:val="00C2749C"/>
    <w:rsid w:val="00C30757"/>
    <w:rsid w:val="00C36CFF"/>
    <w:rsid w:val="00C60991"/>
    <w:rsid w:val="00C65677"/>
    <w:rsid w:val="00C70340"/>
    <w:rsid w:val="00C74EFB"/>
    <w:rsid w:val="00C87440"/>
    <w:rsid w:val="00C943C8"/>
    <w:rsid w:val="00D3557E"/>
    <w:rsid w:val="00D9347B"/>
    <w:rsid w:val="00DA58C3"/>
    <w:rsid w:val="00DB37F6"/>
    <w:rsid w:val="00DB4984"/>
    <w:rsid w:val="00DC3CC8"/>
    <w:rsid w:val="00DD2734"/>
    <w:rsid w:val="00DD7FAC"/>
    <w:rsid w:val="00E1533D"/>
    <w:rsid w:val="00E41F9D"/>
    <w:rsid w:val="00EA73D9"/>
    <w:rsid w:val="00EC38CA"/>
    <w:rsid w:val="00EC3F21"/>
    <w:rsid w:val="00ED4943"/>
    <w:rsid w:val="00EE5CBD"/>
    <w:rsid w:val="00EF3DA1"/>
    <w:rsid w:val="00F23FD3"/>
    <w:rsid w:val="00F40F73"/>
    <w:rsid w:val="00FC55A7"/>
    <w:rsid w:val="00FC6E39"/>
    <w:rsid w:val="00FD08AD"/>
    <w:rsid w:val="01A87AFF"/>
    <w:rsid w:val="042C730F"/>
    <w:rsid w:val="049F37E8"/>
    <w:rsid w:val="04EA2841"/>
    <w:rsid w:val="059137BB"/>
    <w:rsid w:val="064967D8"/>
    <w:rsid w:val="073C35E3"/>
    <w:rsid w:val="082B20F0"/>
    <w:rsid w:val="0880067C"/>
    <w:rsid w:val="08DC3A54"/>
    <w:rsid w:val="0A2F5262"/>
    <w:rsid w:val="0B105F1C"/>
    <w:rsid w:val="0B727711"/>
    <w:rsid w:val="0BAB5865"/>
    <w:rsid w:val="0C6C6CF2"/>
    <w:rsid w:val="0CE01DF4"/>
    <w:rsid w:val="0D203146"/>
    <w:rsid w:val="0DD02C18"/>
    <w:rsid w:val="0E86208F"/>
    <w:rsid w:val="0EA31D7A"/>
    <w:rsid w:val="0F890F70"/>
    <w:rsid w:val="0FDF5034"/>
    <w:rsid w:val="10525CF9"/>
    <w:rsid w:val="117660A5"/>
    <w:rsid w:val="12175EF1"/>
    <w:rsid w:val="13F372BF"/>
    <w:rsid w:val="14CF7C25"/>
    <w:rsid w:val="14D05D73"/>
    <w:rsid w:val="15B55E2D"/>
    <w:rsid w:val="15B900D5"/>
    <w:rsid w:val="170F4A6C"/>
    <w:rsid w:val="19FA1729"/>
    <w:rsid w:val="1C4D36AB"/>
    <w:rsid w:val="1C557565"/>
    <w:rsid w:val="1C647425"/>
    <w:rsid w:val="1CB676BB"/>
    <w:rsid w:val="1CCA57F8"/>
    <w:rsid w:val="1D15731C"/>
    <w:rsid w:val="1DCB1D37"/>
    <w:rsid w:val="1E672CDA"/>
    <w:rsid w:val="1EA307BD"/>
    <w:rsid w:val="20532972"/>
    <w:rsid w:val="211F68F1"/>
    <w:rsid w:val="21D2614A"/>
    <w:rsid w:val="22D4409F"/>
    <w:rsid w:val="2333238D"/>
    <w:rsid w:val="233B037C"/>
    <w:rsid w:val="242E1C8E"/>
    <w:rsid w:val="24502B23"/>
    <w:rsid w:val="248D656E"/>
    <w:rsid w:val="24DE4AF7"/>
    <w:rsid w:val="25F444AF"/>
    <w:rsid w:val="272A1144"/>
    <w:rsid w:val="27BE41C8"/>
    <w:rsid w:val="29753AAD"/>
    <w:rsid w:val="2A330776"/>
    <w:rsid w:val="2A5B5F60"/>
    <w:rsid w:val="2A602413"/>
    <w:rsid w:val="2A612C8B"/>
    <w:rsid w:val="2C583D4C"/>
    <w:rsid w:val="2D89341A"/>
    <w:rsid w:val="2DAC07F4"/>
    <w:rsid w:val="2E145936"/>
    <w:rsid w:val="2E63697C"/>
    <w:rsid w:val="2EFE534D"/>
    <w:rsid w:val="30336FAA"/>
    <w:rsid w:val="30E431B5"/>
    <w:rsid w:val="31267093"/>
    <w:rsid w:val="31480788"/>
    <w:rsid w:val="31500979"/>
    <w:rsid w:val="31653576"/>
    <w:rsid w:val="31780979"/>
    <w:rsid w:val="317A74ED"/>
    <w:rsid w:val="32892440"/>
    <w:rsid w:val="336D7A73"/>
    <w:rsid w:val="33933DDD"/>
    <w:rsid w:val="34D16D92"/>
    <w:rsid w:val="3594203C"/>
    <w:rsid w:val="35F37B34"/>
    <w:rsid w:val="374E0983"/>
    <w:rsid w:val="37D616C2"/>
    <w:rsid w:val="38140436"/>
    <w:rsid w:val="39820480"/>
    <w:rsid w:val="39CA1B37"/>
    <w:rsid w:val="3A392EA5"/>
    <w:rsid w:val="3BCA46B4"/>
    <w:rsid w:val="3D7A08BC"/>
    <w:rsid w:val="3DB90565"/>
    <w:rsid w:val="3EC7548D"/>
    <w:rsid w:val="3F2323C3"/>
    <w:rsid w:val="402F7C40"/>
    <w:rsid w:val="412E6525"/>
    <w:rsid w:val="41985A1A"/>
    <w:rsid w:val="42194CDA"/>
    <w:rsid w:val="427E7A16"/>
    <w:rsid w:val="42C232C0"/>
    <w:rsid w:val="453F5652"/>
    <w:rsid w:val="45B94D73"/>
    <w:rsid w:val="46B74A6E"/>
    <w:rsid w:val="473B767A"/>
    <w:rsid w:val="476B0247"/>
    <w:rsid w:val="482B277A"/>
    <w:rsid w:val="485E02ED"/>
    <w:rsid w:val="4A007D8A"/>
    <w:rsid w:val="4A5A3A15"/>
    <w:rsid w:val="4AB300E5"/>
    <w:rsid w:val="4ABA40F8"/>
    <w:rsid w:val="4C142448"/>
    <w:rsid w:val="4D4011EF"/>
    <w:rsid w:val="4D5A0A6F"/>
    <w:rsid w:val="4E2A6626"/>
    <w:rsid w:val="4ED25457"/>
    <w:rsid w:val="4F59216A"/>
    <w:rsid w:val="4F837195"/>
    <w:rsid w:val="52DF1D88"/>
    <w:rsid w:val="538752F5"/>
    <w:rsid w:val="53876B42"/>
    <w:rsid w:val="55482300"/>
    <w:rsid w:val="5557426C"/>
    <w:rsid w:val="556334E7"/>
    <w:rsid w:val="5630526E"/>
    <w:rsid w:val="572D1C03"/>
    <w:rsid w:val="58440EF4"/>
    <w:rsid w:val="58795666"/>
    <w:rsid w:val="58D2260D"/>
    <w:rsid w:val="5AAB2B89"/>
    <w:rsid w:val="5AC10EE0"/>
    <w:rsid w:val="5CBF2236"/>
    <w:rsid w:val="5CC53758"/>
    <w:rsid w:val="5CCD40E2"/>
    <w:rsid w:val="5D7423DF"/>
    <w:rsid w:val="5DAB1405"/>
    <w:rsid w:val="5E536315"/>
    <w:rsid w:val="5F12212D"/>
    <w:rsid w:val="5F2514A7"/>
    <w:rsid w:val="608B60F7"/>
    <w:rsid w:val="60A977CB"/>
    <w:rsid w:val="60EC7D7A"/>
    <w:rsid w:val="60F92560"/>
    <w:rsid w:val="616F5584"/>
    <w:rsid w:val="62212D94"/>
    <w:rsid w:val="627A19DB"/>
    <w:rsid w:val="62BC40AF"/>
    <w:rsid w:val="62F92E8C"/>
    <w:rsid w:val="63EF2E6D"/>
    <w:rsid w:val="64592C32"/>
    <w:rsid w:val="6463005F"/>
    <w:rsid w:val="65137605"/>
    <w:rsid w:val="65290F0A"/>
    <w:rsid w:val="67D528F4"/>
    <w:rsid w:val="67D70314"/>
    <w:rsid w:val="684E298A"/>
    <w:rsid w:val="68662D72"/>
    <w:rsid w:val="68FE0E3B"/>
    <w:rsid w:val="69C935B8"/>
    <w:rsid w:val="6A7569FE"/>
    <w:rsid w:val="6B37527B"/>
    <w:rsid w:val="6C462499"/>
    <w:rsid w:val="6CA061D6"/>
    <w:rsid w:val="6CF11B3D"/>
    <w:rsid w:val="6D0668D1"/>
    <w:rsid w:val="6D2B07BA"/>
    <w:rsid w:val="6D5A6BDF"/>
    <w:rsid w:val="6DAC32E9"/>
    <w:rsid w:val="6DC07393"/>
    <w:rsid w:val="6DD8201C"/>
    <w:rsid w:val="6DF144D3"/>
    <w:rsid w:val="6EAE0160"/>
    <w:rsid w:val="6EF22B4B"/>
    <w:rsid w:val="6EF54355"/>
    <w:rsid w:val="6F5D55B3"/>
    <w:rsid w:val="6FE36124"/>
    <w:rsid w:val="71F950A9"/>
    <w:rsid w:val="747B71AB"/>
    <w:rsid w:val="74AF743B"/>
    <w:rsid w:val="74F66E00"/>
    <w:rsid w:val="753D0953"/>
    <w:rsid w:val="754C2DB2"/>
    <w:rsid w:val="75681D99"/>
    <w:rsid w:val="76686769"/>
    <w:rsid w:val="782869C8"/>
    <w:rsid w:val="78516312"/>
    <w:rsid w:val="79206671"/>
    <w:rsid w:val="79CE3223"/>
    <w:rsid w:val="7A014BB6"/>
    <w:rsid w:val="7A143D55"/>
    <w:rsid w:val="7C091DFD"/>
    <w:rsid w:val="7D866247"/>
    <w:rsid w:val="7E4D4360"/>
    <w:rsid w:val="7FBF5FDB"/>
    <w:rsid w:val="DEDD90AB"/>
    <w:rsid w:val="FC7738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spacing w:before="0" w:beforeAutospacing="1" w:after="0" w:afterAutospacing="1"/>
      <w:jc w:val="center"/>
      <w:outlineLvl w:val="0"/>
    </w:pPr>
    <w:rPr>
      <w:rFonts w:hint="eastAsia" w:ascii="宋体" w:hAnsi="宋体" w:eastAsia="微软雅黑" w:cs="宋体"/>
      <w:b/>
      <w:bCs/>
      <w:kern w:val="44"/>
      <w:sz w:val="24"/>
      <w:szCs w:val="48"/>
      <w:lang w:bidi="ar"/>
    </w:rPr>
  </w:style>
  <w:style w:type="paragraph" w:styleId="3">
    <w:name w:val="heading 2"/>
    <w:basedOn w:val="1"/>
    <w:next w:val="1"/>
    <w:autoRedefine/>
    <w:unhideWhenUsed/>
    <w:qFormat/>
    <w:uiPriority w:val="0"/>
    <w:pPr>
      <w:keepNext/>
      <w:keepLines/>
      <w:spacing w:beforeLines="50" w:afterLines="50"/>
      <w:jc w:val="center"/>
      <w:outlineLvl w:val="1"/>
    </w:pPr>
    <w:rPr>
      <w:rFonts w:eastAsia="黑体" w:asciiTheme="majorHAnsi" w:hAnsiTheme="majorHAnsi" w:cstheme="majorBidi"/>
      <w:b/>
      <w:bCs/>
      <w:sz w:val="32"/>
      <w:szCs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unhideWhenUsed/>
    <w:qFormat/>
    <w:uiPriority w:val="99"/>
    <w:pPr>
      <w:spacing w:line="240" w:lineRule="auto"/>
    </w:pPr>
    <w:rPr>
      <w:rFonts w:eastAsia="仿宋"/>
      <w:sz w:val="28"/>
      <w:szCs w:val="32"/>
    </w:rPr>
  </w:style>
  <w:style w:type="paragraph" w:styleId="5">
    <w:name w:val="Date"/>
    <w:basedOn w:val="1"/>
    <w:next w:val="1"/>
    <w:link w:val="18"/>
    <w:autoRedefine/>
    <w:semiHidden/>
    <w:unhideWhenUsed/>
    <w:qFormat/>
    <w:uiPriority w:val="99"/>
    <w:pPr>
      <w:ind w:left="100" w:leftChars="2500"/>
    </w:pPr>
  </w:style>
  <w:style w:type="paragraph" w:styleId="6">
    <w:name w:val="Body Text Indent 2"/>
    <w:basedOn w:val="1"/>
    <w:unhideWhenUsed/>
    <w:qFormat/>
    <w:uiPriority w:val="99"/>
    <w:pPr>
      <w:spacing w:line="360" w:lineRule="auto"/>
    </w:pPr>
    <w:rPr>
      <w:spacing w:val="12"/>
      <w:kern w:val="0"/>
      <w:position w:val="21"/>
      <w:sz w:val="28"/>
      <w:szCs w:val="28"/>
    </w:rPr>
  </w:style>
  <w:style w:type="paragraph" w:styleId="7">
    <w:name w:val="footer"/>
    <w:basedOn w:val="1"/>
    <w:link w:val="17"/>
    <w:autoRedefine/>
    <w:unhideWhenUsed/>
    <w:qFormat/>
    <w:uiPriority w:val="99"/>
    <w:pPr>
      <w:tabs>
        <w:tab w:val="center" w:pos="4153"/>
        <w:tab w:val="right" w:pos="8306"/>
      </w:tabs>
      <w:snapToGrid w:val="0"/>
      <w:jc w:val="left"/>
    </w:pPr>
    <w:rPr>
      <w:sz w:val="18"/>
      <w:szCs w:val="18"/>
    </w:rPr>
  </w:style>
  <w:style w:type="paragraph" w:styleId="8">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4"/>
    <w:unhideWhenUsed/>
    <w:qFormat/>
    <w:uiPriority w:val="99"/>
    <w:pPr>
      <w:widowControl w:val="0"/>
      <w:ind w:left="100" w:firstLine="420" w:firstLineChars="100"/>
    </w:pPr>
    <w:rPr>
      <w:rFonts w:ascii="宋体" w:hAnsi="宋体" w:eastAsia="宋体" w:cs="Times New Roman"/>
      <w:kern w:val="0"/>
      <w:sz w:val="21"/>
      <w:szCs w:val="21"/>
      <w:lang w:val="en-US" w:eastAsia="en-US" w:bidi="ar-SA"/>
    </w:rPr>
  </w:style>
  <w:style w:type="table" w:styleId="12">
    <w:name w:val="Table Grid"/>
    <w:basedOn w:val="1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paragraph" w:styleId="15">
    <w:name w:val="List Paragraph"/>
    <w:basedOn w:val="1"/>
    <w:autoRedefine/>
    <w:qFormat/>
    <w:uiPriority w:val="34"/>
    <w:pPr>
      <w:ind w:firstLine="420" w:firstLineChars="200"/>
    </w:pPr>
  </w:style>
  <w:style w:type="character" w:customStyle="1" w:styleId="16">
    <w:name w:val="Header Char"/>
    <w:basedOn w:val="13"/>
    <w:link w:val="8"/>
    <w:autoRedefine/>
    <w:qFormat/>
    <w:uiPriority w:val="99"/>
    <w:rPr>
      <w:kern w:val="2"/>
      <w:sz w:val="18"/>
      <w:szCs w:val="18"/>
    </w:rPr>
  </w:style>
  <w:style w:type="character" w:customStyle="1" w:styleId="17">
    <w:name w:val="Footer Char"/>
    <w:basedOn w:val="13"/>
    <w:link w:val="7"/>
    <w:autoRedefine/>
    <w:qFormat/>
    <w:uiPriority w:val="99"/>
    <w:rPr>
      <w:kern w:val="2"/>
      <w:sz w:val="18"/>
      <w:szCs w:val="18"/>
    </w:rPr>
  </w:style>
  <w:style w:type="character" w:customStyle="1" w:styleId="18">
    <w:name w:val="Date Char"/>
    <w:basedOn w:val="13"/>
    <w:link w:val="5"/>
    <w:autoRedefine/>
    <w:semiHidden/>
    <w:qFormat/>
    <w:uiPriority w:val="99"/>
    <w:rPr>
      <w:kern w:val="2"/>
      <w:sz w:val="21"/>
      <w:szCs w:val="22"/>
      <w:lang w:val="en-US"/>
    </w:rPr>
  </w:style>
  <w:style w:type="character" w:customStyle="1" w:styleId="19">
    <w:name w:val="font11"/>
    <w:basedOn w:val="13"/>
    <w:autoRedefine/>
    <w:qFormat/>
    <w:uiPriority w:val="0"/>
    <w:rPr>
      <w:rFonts w:hint="eastAsia" w:ascii="等线" w:hAnsi="等线" w:eastAsia="等线" w:cs="等线"/>
      <w:color w:val="000000"/>
      <w:sz w:val="24"/>
      <w:szCs w:val="24"/>
      <w:u w:val="none"/>
    </w:rPr>
  </w:style>
  <w:style w:type="character" w:customStyle="1" w:styleId="20">
    <w:name w:val="font21"/>
    <w:basedOn w:val="13"/>
    <w:autoRedefine/>
    <w:qFormat/>
    <w:uiPriority w:val="0"/>
    <w:rPr>
      <w:rFonts w:hint="eastAsia" w:ascii="宋体" w:hAnsi="宋体" w:eastAsia="宋体" w:cs="宋体"/>
      <w:color w:val="000000"/>
      <w:sz w:val="24"/>
      <w:szCs w:val="24"/>
      <w:u w:val="none"/>
    </w:rPr>
  </w:style>
  <w:style w:type="paragraph" w:customStyle="1" w:styleId="21">
    <w:name w:val="Table Text"/>
    <w:basedOn w:val="1"/>
    <w:autoRedefine/>
    <w:semiHidden/>
    <w:qFormat/>
    <w:uiPriority w:val="0"/>
    <w:rPr>
      <w:rFonts w:ascii="宋体" w:hAnsi="宋体" w:eastAsia="宋体" w:cs="宋体"/>
      <w:sz w:val="32"/>
      <w:szCs w:val="32"/>
      <w:lang w:val="en-US" w:eastAsia="en-US" w:bidi="ar-SA"/>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customStyle="1" w:styleId="23">
    <w:name w:val="Body text|1"/>
    <w:basedOn w:val="1"/>
    <w:autoRedefine/>
    <w:qFormat/>
    <w:uiPriority w:val="0"/>
    <w:pPr>
      <w:widowControl w:val="0"/>
      <w:shd w:val="clear" w:color="auto" w:fill="auto"/>
      <w:spacing w:line="480" w:lineRule="auto"/>
      <w:ind w:firstLine="40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f7a3e5aa-d263-4f5a-96d1-93d85c73472a</errorID>
      <errorWord>GB50433</errorWord>
      <group>L1_Word</group>
      <groupName>字词问题</groupName>
      <ability>L2_Typo</ability>
      <abilityName>字词错误</abilityName>
      <candidateList>
        <item>GB 50433</item>
      </candidateList>
      <explain/>
      <paraID>2A5F1E95</paraID>
      <start>37</start>
      <end>44</end>
      <status>ignored</status>
      <modifiedWord/>
      <trackRevisions>false</trackRevisions>
    </reviewItem>
    <reviewItem>
      <errorID>20cc19bd-d4ef-4f02-be58-53ef6c8675d2</errorID>
      <errorWord>T50434</errorWord>
      <group>L1_Word</group>
      <groupName>字词问题</groupName>
      <ability>L2_Typo</ability>
      <abilityName>字词错误</abilityName>
      <candidateList>
        <item>T 50434</item>
      </candidateList>
      <explain/>
      <paraID>2A5F1E95</paraID>
      <start>71</start>
      <end>77</end>
      <status>ignored</status>
      <modifiedWord/>
      <trackRevisions>false</trackRevisions>
    </reviewItem>
    <reviewItem>
      <errorID>f382e3ce-3e75-4b41-8fae-094f910bdc75</errorID>
      <errorWord>SL277</errorWord>
      <group>L1_Word</group>
      <groupName>字词问题</groupName>
      <ability>L2_Typo</ability>
      <abilityName>字词错误</abilityName>
      <candidateList>
        <item>SL 277</item>
      </candidateList>
      <explain/>
      <paraID>2A5F1E95</paraID>
      <start>110</start>
      <end>115</end>
      <status>ignored</status>
      <modifiedWord/>
      <trackRevisions>false</trackRevisions>
    </reviewItem>
    <reviewItem>
      <errorID>df61b171-0903-4b2a-86f0-ea9cb08bdc73</errorID>
      <errorWord>（</errorWord>
      <group>L1_Punc</group>
      <groupName>标点问题</groupName>
      <ability>L2_Punc_CN</ability>
      <abilityName>标点符号问题</abilityName>
      <candidateList/>
      <explain>同一形式括号套用。</explain>
      <paraID>19AD7BFF</paraID>
      <start>49</start>
      <end>50</end>
      <status>ignored</status>
      <modifiedWord/>
      <trackRevisions>false</trackRevisions>
    </reviewItem>
    <reviewItem>
      <errorID>9d7a8adf-a768-45cd-a99f-1ae0f2f339e9</errorID>
      <errorWord>）</errorWord>
      <group>L1_Punc</group>
      <groupName>标点问题</groupName>
      <ability>L2_Punc_CN</ability>
      <abilityName>标点符号问题</abilityName>
      <candidateList/>
      <explain>同一形式括号套用。</explain>
      <paraID>19AD7BFF</paraID>
      <start>58</start>
      <end>59</end>
      <status>ignored</status>
      <modifiedWord/>
      <trackRevisions>false</trackRevisions>
    </reviewItem>
    <reviewItem>
      <errorID>a289bb23-a3dc-45e7-9ae2-b126820ae975</errorID>
      <errorWord>（①</errorWord>
      <group>L1_Word</group>
      <groupName>字词问题</groupName>
      <ability>L2_Typo</ability>
      <abilityName>字词错误</abilityName>
      <candidateList>
        <item>（</item>
      </candidateList>
      <explain/>
      <paraID>434D8D15</paraID>
      <start>31</start>
      <end>33</end>
      <status>ignored</status>
      <modifiedWord/>
      <trackRevisions>false</trackRevisions>
    </reviewItem>
    <reviewItem>
      <errorID>2ea898cf-9b98-45a5-acce-f5ecadc215dc</errorID>
      <errorWord>；②</errorWord>
      <group>L1_Word</group>
      <groupName>字词问题</groupName>
      <ability>L2_Typo</ability>
      <abilityName>字词错误</abilityName>
      <candidateList>
        <item>；</item>
      </candidateList>
      <explain/>
      <paraID>434D8D15</paraID>
      <start>84</start>
      <end>86</end>
      <status>ignored</status>
      <modifiedWord/>
      <trackRevisions>false</trackRevisions>
    </reviewItem>
    <reviewItem>
      <errorID>0cd343d3-3165-41de-bd38-440af9210804</errorID>
      <errorWord>；③</errorWord>
      <group>L1_Word</group>
      <groupName>字词问题</groupName>
      <ability>L2_Typo</ability>
      <abilityName>字词错误</abilityName>
      <candidateList>
        <item>；</item>
      </candidateList>
      <explain/>
      <paraID>434D8D15</paraID>
      <start>128</start>
      <end>130</end>
      <status>ignored</status>
      <modifiedWord/>
      <trackRevisions>false</trackRevisions>
    </reviewItem>
    <reviewItem>
      <errorID>669bc182-b175-4a9a-85df-8f0ff297b7a6</errorID>
      <errorWord>以及与</errorWord>
      <group>L1_Word</group>
      <groupName>字词问题</groupName>
      <ability>L2_Typo</ability>
      <abilityName>字词错误</abilityName>
      <candidateList>
        <item>以及</item>
      </candidateList>
      <explain/>
      <paraID>7541A7C9</paraID>
      <start>37</start>
      <end>40</end>
      <status>ignored</status>
      <modifiedWord/>
      <trackRevisions>false</trackRevisions>
    </reviewItem>
    <reviewItem>
      <errorID>66265d62-7f0b-41b3-b88d-78d8ad78e9f9</errorID>
      <errorWord>进行合作</errorWord>
      <group>L1_Word</group>
      <groupName>字词问题</groupName>
      <ability>L2_Typo</ability>
      <abilityName>字词错误</abilityName>
      <candidateList>
        <item>积极配合</item>
      </candidateList>
      <explain/>
      <paraID>72CEB923</paraID>
      <start>14</start>
      <end>18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5ad1bf-bb10-49f6-8de8-bf1d2583094b}">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3790</Words>
  <Characters>4283</Characters>
  <Lines>9</Lines>
  <Paragraphs>2</Paragraphs>
  <TotalTime>4</TotalTime>
  <ScaleCrop>false</ScaleCrop>
  <LinksUpToDate>false</LinksUpToDate>
  <CharactersWithSpaces>4713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2023-09-11T10:24:00Z</dcterms:created>
  <dc:creator>76871</dc:creator>
  <cp:lastModifiedBy>王天闻</cp:lastModifiedBy>
  <cp:lastPrinted>2023-10-25T03:21:00Z</cp:lastPrinted>
  <dcterms:modified xsi:type="dcterms:W3CDTF">2026-09-09T08:08:04Z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A6EB2B23F4194FCA93DA3CF00AC40968_13</vt:lpwstr>
  </property>
  <property fmtid="{D5CDD505-2E9C-101B-9397-08002B2CF9AE}" pid="4" name="KSOTemplateDocerSaveRecord">
    <vt:lpwstr>eyJoZGlkIjoiMTgxNjMyOWFkMDljZTVkYTc4MTk2MDlkYmJlODhhOTYiLCJ1c2VySWQiOiIzMTQzMDAwMDEifQ==</vt:lpwstr>
  </property>
</Properties>
</file>