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color w:val="auto"/>
        </w:rPr>
      </w:pPr>
    </w:p>
    <w:p>
      <w:pPr>
        <w:spacing w:before="3" w:line="360" w:lineRule="auto"/>
        <w:ind w:right="651"/>
        <w:jc w:val="center"/>
        <w:rPr>
          <w:b/>
          <w:sz w:val="52"/>
          <w:szCs w:val="52"/>
        </w:rPr>
      </w:pPr>
      <w:r>
        <w:rPr>
          <w:rFonts w:hint="eastAsia"/>
          <w:b/>
          <w:spacing w:val="-21"/>
          <w:sz w:val="52"/>
          <w:szCs w:val="52"/>
        </w:rPr>
        <w:t>南阳市生态环境局大气污染防治精准决策系统建设与技术服务项目</w:t>
      </w:r>
    </w:p>
    <w:p>
      <w:pPr>
        <w:ind w:left="463" w:right="651"/>
        <w:jc w:val="center"/>
        <w:rPr>
          <w:b/>
          <w:sz w:val="56"/>
          <w:szCs w:val="20"/>
        </w:rPr>
      </w:pPr>
    </w:p>
    <w:p>
      <w:pPr>
        <w:ind w:left="463" w:right="651"/>
        <w:jc w:val="center"/>
        <w:rPr>
          <w:sz w:val="36"/>
        </w:rPr>
      </w:pPr>
      <w:r>
        <w:rPr>
          <w:b/>
          <w:sz w:val="56"/>
          <w:szCs w:val="20"/>
        </w:rPr>
        <w:t>招 标 文 件</w:t>
      </w:r>
    </w:p>
    <w:p>
      <w:pPr>
        <w:jc w:val="center"/>
        <w:rPr>
          <w:sz w:val="36"/>
        </w:rPr>
      </w:pPr>
      <w:r>
        <w:rPr>
          <w:sz w:val="36"/>
          <w:lang w:val="en-US" w:bidi="ar-SA"/>
        </w:rPr>
        <w:drawing>
          <wp:inline distT="0" distB="0" distL="114300" distR="114300">
            <wp:extent cx="1786255" cy="1775460"/>
            <wp:effectExtent l="0" t="0" r="0" b="0"/>
            <wp:docPr id="2" name="图片 1"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徽标"/>
                    <pic:cNvPicPr>
                      <a:picLocks noChangeAspect="1"/>
                    </pic:cNvPicPr>
                  </pic:nvPicPr>
                  <pic:blipFill>
                    <a:blip r:embed="rId5">
                      <a:clrChange>
                        <a:clrFrom>
                          <a:srgbClr val="FFFFFF">
                            <a:alpha val="100000"/>
                          </a:srgbClr>
                        </a:clrFrom>
                        <a:clrTo>
                          <a:srgbClr val="FFFFFF">
                            <a:alpha val="100000"/>
                            <a:alpha val="0"/>
                          </a:srgbClr>
                        </a:clrTo>
                      </a:clrChange>
                      <a:lum contrast="12000"/>
                    </a:blip>
                    <a:stretch>
                      <a:fillRect/>
                    </a:stretch>
                  </pic:blipFill>
                  <pic:spPr>
                    <a:xfrm>
                      <a:off x="0" y="0"/>
                      <a:ext cx="1786255" cy="1775460"/>
                    </a:xfrm>
                    <a:prstGeom prst="rect">
                      <a:avLst/>
                    </a:prstGeom>
                    <a:noFill/>
                    <a:ln>
                      <a:noFill/>
                    </a:ln>
                  </pic:spPr>
                </pic:pic>
              </a:graphicData>
            </a:graphic>
          </wp:inline>
        </w:drawing>
      </w:r>
    </w:p>
    <w:p>
      <w:pPr>
        <w:adjustRightInd w:val="0"/>
        <w:snapToGrid w:val="0"/>
        <w:spacing w:line="360" w:lineRule="auto"/>
        <w:ind w:right="-719" w:rightChars="-327" w:firstLine="551" w:firstLineChars="196"/>
        <w:rPr>
          <w:b/>
          <w:sz w:val="28"/>
          <w:szCs w:val="28"/>
        </w:rPr>
      </w:pPr>
    </w:p>
    <w:p>
      <w:pPr>
        <w:adjustRightInd w:val="0"/>
        <w:snapToGrid w:val="0"/>
        <w:spacing w:line="360" w:lineRule="auto"/>
        <w:ind w:right="-719" w:rightChars="-327" w:firstLine="551" w:firstLineChars="196"/>
        <w:rPr>
          <w:b/>
          <w:sz w:val="28"/>
          <w:szCs w:val="28"/>
        </w:rPr>
      </w:pPr>
    </w:p>
    <w:p>
      <w:pPr>
        <w:pStyle w:val="24"/>
        <w:rPr>
          <w:b/>
          <w:color w:val="auto"/>
          <w:sz w:val="28"/>
          <w:szCs w:val="28"/>
        </w:rPr>
      </w:pPr>
    </w:p>
    <w:p>
      <w:pPr>
        <w:pStyle w:val="24"/>
        <w:rPr>
          <w:b/>
          <w:color w:val="auto"/>
          <w:sz w:val="28"/>
          <w:szCs w:val="28"/>
        </w:rPr>
      </w:pPr>
    </w:p>
    <w:p>
      <w:pPr>
        <w:pStyle w:val="24"/>
        <w:rPr>
          <w:b/>
          <w:color w:val="auto"/>
          <w:sz w:val="28"/>
          <w:szCs w:val="28"/>
        </w:rPr>
      </w:pPr>
    </w:p>
    <w:p>
      <w:pPr>
        <w:pStyle w:val="24"/>
        <w:rPr>
          <w:b/>
          <w:color w:val="auto"/>
          <w:sz w:val="28"/>
          <w:szCs w:val="28"/>
        </w:rPr>
      </w:pPr>
    </w:p>
    <w:p>
      <w:pPr>
        <w:pStyle w:val="24"/>
        <w:rPr>
          <w:b/>
          <w:color w:val="auto"/>
          <w:sz w:val="28"/>
          <w:szCs w:val="28"/>
        </w:rPr>
      </w:pPr>
    </w:p>
    <w:p>
      <w:pPr>
        <w:spacing w:line="360" w:lineRule="auto"/>
        <w:ind w:firstLine="1687" w:firstLineChars="600"/>
        <w:rPr>
          <w:b/>
          <w:sz w:val="28"/>
          <w:szCs w:val="28"/>
        </w:rPr>
      </w:pPr>
      <w:r>
        <w:rPr>
          <w:rFonts w:hint="eastAsia"/>
          <w:b/>
          <w:sz w:val="28"/>
          <w:szCs w:val="28"/>
        </w:rPr>
        <w:t>采</w:t>
      </w:r>
      <w:r>
        <w:rPr>
          <w:rFonts w:hint="eastAsia"/>
          <w:b/>
          <w:sz w:val="28"/>
          <w:szCs w:val="28"/>
          <w:lang w:val="en-US"/>
        </w:rPr>
        <w:t xml:space="preserve">   </w:t>
      </w:r>
      <w:r>
        <w:rPr>
          <w:rFonts w:hint="eastAsia"/>
          <w:b/>
          <w:sz w:val="28"/>
          <w:szCs w:val="28"/>
        </w:rPr>
        <w:t>购</w:t>
      </w:r>
      <w:r>
        <w:rPr>
          <w:rFonts w:hint="eastAsia"/>
          <w:b/>
          <w:sz w:val="28"/>
          <w:szCs w:val="28"/>
          <w:lang w:val="en-US"/>
        </w:rPr>
        <w:t xml:space="preserve">  </w:t>
      </w:r>
      <w:r>
        <w:rPr>
          <w:rFonts w:hint="eastAsia"/>
          <w:b/>
          <w:sz w:val="28"/>
          <w:szCs w:val="28"/>
        </w:rPr>
        <w:t>人：</w:t>
      </w:r>
      <w:r>
        <w:rPr>
          <w:rFonts w:hint="eastAsia"/>
          <w:b/>
          <w:bCs/>
          <w:sz w:val="28"/>
          <w:szCs w:val="28"/>
        </w:rPr>
        <w:t>南阳市生态环境局</w:t>
      </w:r>
    </w:p>
    <w:p>
      <w:pPr>
        <w:spacing w:line="360" w:lineRule="auto"/>
        <w:ind w:firstLine="1687" w:firstLineChars="600"/>
        <w:rPr>
          <w:b/>
          <w:sz w:val="28"/>
          <w:szCs w:val="28"/>
        </w:rPr>
      </w:pPr>
      <w:r>
        <w:rPr>
          <w:rFonts w:hint="eastAsia"/>
          <w:b/>
          <w:sz w:val="28"/>
          <w:szCs w:val="28"/>
        </w:rPr>
        <w:t>代 理 机 构：河南省伟信招标管理咨询有限公司</w:t>
      </w:r>
    </w:p>
    <w:p>
      <w:pPr>
        <w:spacing w:line="360" w:lineRule="auto"/>
        <w:ind w:firstLine="1687" w:firstLineChars="600"/>
        <w:rPr>
          <w:b/>
          <w:sz w:val="28"/>
          <w:szCs w:val="28"/>
        </w:rPr>
      </w:pPr>
      <w:r>
        <w:rPr>
          <w:rFonts w:hint="eastAsia"/>
          <w:b/>
          <w:sz w:val="28"/>
          <w:szCs w:val="28"/>
        </w:rPr>
        <w:t>日</w:t>
      </w:r>
      <w:r>
        <w:rPr>
          <w:rFonts w:hint="eastAsia"/>
          <w:b/>
          <w:sz w:val="28"/>
          <w:szCs w:val="28"/>
          <w:lang w:val="en-US"/>
        </w:rPr>
        <w:t xml:space="preserve">       </w:t>
      </w:r>
      <w:r>
        <w:rPr>
          <w:rFonts w:hint="eastAsia"/>
          <w:b/>
          <w:sz w:val="28"/>
          <w:szCs w:val="28"/>
        </w:rPr>
        <w:t>期：二○二一年十月</w:t>
      </w:r>
    </w:p>
    <w:p>
      <w:pPr>
        <w:spacing w:line="360" w:lineRule="auto"/>
        <w:jc w:val="center"/>
        <w:rPr>
          <w:bCs/>
          <w:sz w:val="24"/>
          <w:szCs w:val="24"/>
        </w:rPr>
      </w:pPr>
      <w:r>
        <w:rPr>
          <w:b/>
          <w:sz w:val="36"/>
        </w:rPr>
        <w:br w:type="page"/>
      </w:r>
      <w:r>
        <w:rPr>
          <w:rFonts w:hint="eastAsia"/>
          <w:b/>
          <w:sz w:val="28"/>
          <w:szCs w:val="28"/>
        </w:rPr>
        <w:t>河南省政府采购合同融资政策告知函</w:t>
      </w:r>
    </w:p>
    <w:p>
      <w:pPr>
        <w:spacing w:line="360" w:lineRule="auto"/>
        <w:rPr>
          <w:bCs/>
          <w:sz w:val="24"/>
          <w:szCs w:val="24"/>
        </w:rPr>
      </w:pPr>
    </w:p>
    <w:p>
      <w:pPr>
        <w:spacing w:line="360" w:lineRule="auto"/>
        <w:rPr>
          <w:bCs/>
          <w:sz w:val="24"/>
          <w:szCs w:val="24"/>
        </w:rPr>
      </w:pPr>
      <w:r>
        <w:rPr>
          <w:rFonts w:hint="eastAsia"/>
          <w:bCs/>
          <w:sz w:val="24"/>
          <w:szCs w:val="24"/>
        </w:rPr>
        <w:t>各供应商:</w:t>
      </w:r>
    </w:p>
    <w:p>
      <w:pPr>
        <w:spacing w:line="360" w:lineRule="auto"/>
        <w:ind w:firstLine="480" w:firstLineChars="200"/>
        <w:rPr>
          <w:bCs/>
          <w:sz w:val="24"/>
          <w:szCs w:val="24"/>
        </w:rPr>
      </w:pPr>
      <w:r>
        <w:rPr>
          <w:rFonts w:hint="eastAsia"/>
          <w:bCs/>
          <w:sz w:val="24"/>
          <w:szCs w:val="24"/>
        </w:rPr>
        <w:t>欢迎贵公司参与河南省政府采购活动!</w:t>
      </w:r>
    </w:p>
    <w:p>
      <w:pPr>
        <w:spacing w:line="360" w:lineRule="auto"/>
        <w:ind w:firstLine="480" w:firstLineChars="200"/>
        <w:rPr>
          <w:bCs/>
          <w:sz w:val="24"/>
          <w:szCs w:val="24"/>
        </w:rPr>
      </w:pPr>
      <w:r>
        <w:rPr>
          <w:rFonts w:hint="eastAsia"/>
          <w:bCs/>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80" w:firstLineChars="200"/>
        <w:rPr>
          <w:b/>
          <w:sz w:val="36"/>
        </w:rPr>
      </w:pPr>
      <w:r>
        <w:rPr>
          <w:rFonts w:hint="eastAsia"/>
          <w:bCs/>
          <w:sz w:val="24"/>
          <w:szCs w:val="24"/>
        </w:rPr>
        <w:t>贷款渠道和提供贷款的金融机构，可在河南省政府采购网“河南省政府采购合同融资平台”查询联系。</w:t>
      </w:r>
      <w:r>
        <w:rPr>
          <w:b/>
          <w:sz w:val="36"/>
        </w:rPr>
        <w:br w:type="page"/>
      </w:r>
    </w:p>
    <w:sdt>
      <w:sdtPr>
        <w:rPr>
          <w:sz w:val="21"/>
        </w:rPr>
        <w:id w:val="147461325"/>
        <w:docPartObj>
          <w:docPartGallery w:val="Table of Contents"/>
          <w:docPartUnique/>
        </w:docPartObj>
      </w:sdtPr>
      <w:sdtEndPr>
        <w:rPr>
          <w:rFonts w:ascii="Times New Roman" w:eastAsia="Times New Roman"/>
          <w:sz w:val="22"/>
        </w:rPr>
      </w:sdtEndPr>
      <w:sdtContent>
        <w:p>
          <w:pPr>
            <w:jc w:val="center"/>
            <w:rPr>
              <w:b/>
              <w:bCs/>
              <w:sz w:val="44"/>
              <w:szCs w:val="44"/>
            </w:rPr>
          </w:pPr>
          <w:r>
            <w:rPr>
              <w:b/>
              <w:bCs/>
              <w:sz w:val="44"/>
              <w:szCs w:val="44"/>
            </w:rPr>
            <w:t>目录</w:t>
          </w:r>
        </w:p>
        <w:p>
          <w:pPr>
            <w:pStyle w:val="17"/>
            <w:tabs>
              <w:tab w:val="right" w:pos="2800"/>
              <w:tab w:val="right" w:leader="dot" w:pos="9076"/>
            </w:tabs>
            <w:topLinePunct/>
            <w:autoSpaceDE/>
            <w:autoSpaceDN/>
            <w:spacing w:before="0" w:line="360" w:lineRule="auto"/>
            <w:ind w:right="0"/>
            <w:jc w:val="left"/>
          </w:pPr>
          <w:r>
            <w:rPr>
              <w:rFonts w:ascii="Times New Roman" w:eastAsia="Times New Roman"/>
            </w:rPr>
            <w:fldChar w:fldCharType="begin"/>
          </w:r>
          <w:r>
            <w:rPr>
              <w:rFonts w:ascii="Times New Roman" w:eastAsia="Times New Roman"/>
            </w:rPr>
            <w:instrText xml:space="preserve">TOC \o "1-3" \h \u </w:instrText>
          </w:r>
          <w:r>
            <w:rPr>
              <w:rFonts w:ascii="Times New Roman" w:eastAsia="Times New Roman"/>
            </w:rPr>
            <w:fldChar w:fldCharType="separate"/>
          </w:r>
          <w:r>
            <w:fldChar w:fldCharType="begin"/>
          </w:r>
          <w:r>
            <w:instrText xml:space="preserve"> HYPERLINK \l "_Toc24523" </w:instrText>
          </w:r>
          <w:r>
            <w:fldChar w:fldCharType="separate"/>
          </w:r>
          <w:r>
            <w:t>第一章</w:t>
          </w:r>
          <w:r>
            <w:tab/>
          </w:r>
          <w:r>
            <w:t>招标公告</w:t>
          </w:r>
          <w:r>
            <w:tab/>
          </w:r>
          <w:r>
            <w:fldChar w:fldCharType="begin"/>
          </w:r>
          <w:r>
            <w:instrText xml:space="preserve"> PAGEREF _Toc24523 \h </w:instrText>
          </w:r>
          <w:r>
            <w:fldChar w:fldCharType="separate"/>
          </w:r>
          <w:r>
            <w:t>5</w:t>
          </w:r>
          <w:r>
            <w:fldChar w:fldCharType="end"/>
          </w:r>
          <w:r>
            <w:fldChar w:fldCharType="end"/>
          </w:r>
        </w:p>
        <w:p>
          <w:pPr>
            <w:pStyle w:val="17"/>
            <w:tabs>
              <w:tab w:val="right" w:pos="2800"/>
              <w:tab w:val="right" w:leader="dot" w:pos="9076"/>
            </w:tabs>
            <w:topLinePunct/>
            <w:autoSpaceDE/>
            <w:autoSpaceDN/>
            <w:spacing w:before="0" w:line="360" w:lineRule="auto"/>
            <w:ind w:right="0"/>
            <w:jc w:val="left"/>
          </w:pPr>
          <w:r>
            <w:fldChar w:fldCharType="begin"/>
          </w:r>
          <w:r>
            <w:instrText xml:space="preserve"> HYPERLINK \l "_Toc10659" </w:instrText>
          </w:r>
          <w:r>
            <w:fldChar w:fldCharType="separate"/>
          </w:r>
          <w:r>
            <w:t>第二章</w:t>
          </w:r>
          <w:r>
            <w:tab/>
          </w:r>
          <w:r>
            <w:t>投标须知</w:t>
          </w:r>
          <w:r>
            <w:tab/>
          </w:r>
          <w:r>
            <w:fldChar w:fldCharType="begin"/>
          </w:r>
          <w:r>
            <w:instrText xml:space="preserve"> PAGEREF _Toc10659 \h </w:instrText>
          </w:r>
          <w:r>
            <w:fldChar w:fldCharType="separate"/>
          </w:r>
          <w:r>
            <w:t>9</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"_Toc28185" </w:instrText>
          </w:r>
          <w:r>
            <w:fldChar w:fldCharType="separate"/>
          </w:r>
          <w:r>
            <w:t>投标人须知前附表</w:t>
          </w:r>
          <w:r>
            <w:tab/>
          </w:r>
          <w:r>
            <w:fldChar w:fldCharType="begin"/>
          </w:r>
          <w:r>
            <w:instrText xml:space="preserve"> PAGEREF _Toc28185 \h </w:instrText>
          </w:r>
          <w:r>
            <w:fldChar w:fldCharType="separate"/>
          </w:r>
          <w:r>
            <w:t>9</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"_Toc2285" </w:instrText>
          </w:r>
          <w:r>
            <w:fldChar w:fldCharType="separate"/>
          </w:r>
          <w:r>
            <w:rPr>
              <w:rFonts w:hint="eastAsia"/>
              <w:bCs/>
            </w:rPr>
            <w:t>一、总则</w:t>
          </w:r>
          <w:r>
            <w:tab/>
          </w:r>
          <w:r>
            <w:fldChar w:fldCharType="begin"/>
          </w:r>
          <w:r>
            <w:instrText xml:space="preserve"> PAGEREF _Toc2285 \h </w:instrText>
          </w:r>
          <w:r>
            <w:fldChar w:fldCharType="separate"/>
          </w:r>
          <w:r>
            <w:t>16</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"_Toc21820" </w:instrText>
          </w:r>
          <w:r>
            <w:fldChar w:fldCharType="separate"/>
          </w:r>
          <w:r>
            <w:rPr>
              <w:rFonts w:hint="eastAsia"/>
              <w:bCs/>
            </w:rPr>
            <w:t>二、招标文件</w:t>
          </w:r>
          <w:r>
            <w:tab/>
          </w:r>
          <w:r>
            <w:fldChar w:fldCharType="begin"/>
          </w:r>
          <w:r>
            <w:instrText xml:space="preserve"> PAGEREF _Toc21820 \h </w:instrText>
          </w:r>
          <w:r>
            <w:fldChar w:fldCharType="separate"/>
          </w:r>
          <w:r>
            <w:t>18</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"_Toc22940" </w:instrText>
          </w:r>
          <w:r>
            <w:fldChar w:fldCharType="separate"/>
          </w:r>
          <w:r>
            <w:rPr>
              <w:rFonts w:hint="eastAsia"/>
              <w:bCs/>
            </w:rPr>
            <w:t>三、投标文件</w:t>
          </w:r>
          <w:r>
            <w:tab/>
          </w:r>
          <w:r>
            <w:fldChar w:fldCharType="begin"/>
          </w:r>
          <w:r>
            <w:instrText xml:space="preserve"> PAGEREF _Toc22940 \h </w:instrText>
          </w:r>
          <w:r>
            <w:fldChar w:fldCharType="separate"/>
          </w:r>
          <w:r>
            <w:t>19</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"_Toc4489" </w:instrText>
          </w:r>
          <w:r>
            <w:fldChar w:fldCharType="separate"/>
          </w:r>
          <w:r>
            <w:rPr>
              <w:rFonts w:hint="eastAsia"/>
              <w:bCs/>
            </w:rPr>
            <w:t>四、投标文件的提交</w:t>
          </w:r>
          <w:r>
            <w:tab/>
          </w:r>
          <w:r>
            <w:fldChar w:fldCharType="begin"/>
          </w:r>
          <w:r>
            <w:instrText xml:space="preserve"> PAGEREF _Toc4489 \h </w:instrText>
          </w:r>
          <w:r>
            <w:fldChar w:fldCharType="separate"/>
          </w:r>
          <w:r>
            <w:t>21</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"_Toc22471" </w:instrText>
          </w:r>
          <w:r>
            <w:fldChar w:fldCharType="separate"/>
          </w:r>
          <w:r>
            <w:rPr>
              <w:rFonts w:hint="eastAsia"/>
              <w:bCs/>
            </w:rPr>
            <w:t>五、开标</w:t>
          </w:r>
          <w:r>
            <w:tab/>
          </w:r>
          <w:r>
            <w:fldChar w:fldCharType="begin"/>
          </w:r>
          <w:r>
            <w:instrText xml:space="preserve"> PAGEREF _Toc22471 \h </w:instrText>
          </w:r>
          <w:r>
            <w:fldChar w:fldCharType="separate"/>
          </w:r>
          <w:r>
            <w:t>21</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"_Toc17255" </w:instrText>
          </w:r>
          <w:r>
            <w:fldChar w:fldCharType="separate"/>
          </w:r>
          <w:r>
            <w:rPr>
              <w:rFonts w:hint="eastAsia"/>
              <w:bCs/>
            </w:rPr>
            <w:t>六、评标</w:t>
          </w:r>
          <w:r>
            <w:tab/>
          </w:r>
          <w:r>
            <w:fldChar w:fldCharType="begin"/>
          </w:r>
          <w:r>
            <w:instrText xml:space="preserve"> PAGEREF _Toc17255 \h </w:instrText>
          </w:r>
          <w:r>
            <w:fldChar w:fldCharType="separate"/>
          </w:r>
          <w:r>
            <w:t>21</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"_Toc27690" </w:instrText>
          </w:r>
          <w:r>
            <w:fldChar w:fldCharType="separate"/>
          </w:r>
          <w:r>
            <w:rPr>
              <w:rFonts w:hint="eastAsia"/>
              <w:bCs/>
            </w:rPr>
            <w:t>七、合同授予</w:t>
          </w:r>
          <w:r>
            <w:tab/>
          </w:r>
          <w:r>
            <w:fldChar w:fldCharType="begin"/>
          </w:r>
          <w:r>
            <w:instrText xml:space="preserve"> PAGEREF _Toc27690 \h </w:instrText>
          </w:r>
          <w:r>
            <w:fldChar w:fldCharType="separate"/>
          </w:r>
          <w:r>
            <w:t>22</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"_Toc31466" </w:instrText>
          </w:r>
          <w:r>
            <w:fldChar w:fldCharType="separate"/>
          </w:r>
          <w:r>
            <w:rPr>
              <w:rFonts w:hint="eastAsia"/>
              <w:bCs/>
            </w:rPr>
            <w:t>八、重新招标</w:t>
          </w:r>
          <w:r>
            <w:tab/>
          </w:r>
          <w:r>
            <w:fldChar w:fldCharType="begin"/>
          </w:r>
          <w:r>
            <w:instrText xml:space="preserve"> PAGEREF _Toc31466 \h </w:instrText>
          </w:r>
          <w:r>
            <w:fldChar w:fldCharType="separate"/>
          </w:r>
          <w:r>
            <w:t>23</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"_Toc4031" </w:instrText>
          </w:r>
          <w:r>
            <w:fldChar w:fldCharType="separate"/>
          </w:r>
          <w:r>
            <w:rPr>
              <w:rFonts w:hint="eastAsia"/>
              <w:bCs/>
            </w:rPr>
            <w:t>九、纪律和监督</w:t>
          </w:r>
          <w:r>
            <w:tab/>
          </w:r>
          <w:r>
            <w:fldChar w:fldCharType="begin"/>
          </w:r>
          <w:r>
            <w:instrText xml:space="preserve"> PAGEREF _Toc4031 \h </w:instrText>
          </w:r>
          <w:r>
            <w:fldChar w:fldCharType="separate"/>
          </w:r>
          <w:r>
            <w:t>23</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"_Toc14707" </w:instrText>
          </w:r>
          <w:r>
            <w:fldChar w:fldCharType="separate"/>
          </w:r>
          <w:r>
            <w:rPr>
              <w:rFonts w:hint="eastAsia"/>
              <w:bCs/>
            </w:rPr>
            <w:t>十、需要补充的其他内容</w:t>
          </w:r>
          <w:r>
            <w:tab/>
          </w:r>
          <w:r>
            <w:fldChar w:fldCharType="begin"/>
          </w:r>
          <w:r>
            <w:instrText xml:space="preserve"> PAGEREF _Toc14707 \h </w:instrText>
          </w:r>
          <w:r>
            <w:fldChar w:fldCharType="separate"/>
          </w:r>
          <w:r>
            <w:t>23</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"_Toc16748" </w:instrText>
          </w:r>
          <w:r>
            <w:fldChar w:fldCharType="separate"/>
          </w:r>
          <w:r>
            <w:rPr>
              <w:rFonts w:hint="eastAsia"/>
              <w:bCs/>
            </w:rPr>
            <w:t>十一、 电子招标投标</w:t>
          </w:r>
          <w:r>
            <w:tab/>
          </w:r>
          <w:r>
            <w:fldChar w:fldCharType="begin"/>
          </w:r>
          <w:r>
            <w:instrText xml:space="preserve"> PAGEREF _Toc16748 \h </w:instrText>
          </w:r>
          <w:r>
            <w:fldChar w:fldCharType="separate"/>
          </w:r>
          <w:r>
            <w:t>24</w:t>
          </w:r>
          <w:r>
            <w:fldChar w:fldCharType="end"/>
          </w:r>
          <w:r>
            <w:fldChar w:fldCharType="end"/>
          </w:r>
        </w:p>
        <w:p>
          <w:pPr>
            <w:pStyle w:val="17"/>
            <w:tabs>
              <w:tab w:val="right" w:leader="dot" w:pos="9076"/>
            </w:tabs>
            <w:topLinePunct/>
            <w:autoSpaceDE/>
            <w:autoSpaceDN/>
            <w:spacing w:before="0" w:line="360" w:lineRule="auto"/>
            <w:ind w:right="0"/>
            <w:jc w:val="left"/>
          </w:pPr>
          <w:r>
            <w:fldChar w:fldCharType="begin"/>
          </w:r>
          <w:r>
            <w:instrText xml:space="preserve"> HYPERLINK \l "_Toc8498" </w:instrText>
          </w:r>
          <w:r>
            <w:fldChar w:fldCharType="separate"/>
          </w:r>
          <w:r>
            <w:rPr>
              <w:rFonts w:hint="eastAsia"/>
            </w:rPr>
            <w:t xml:space="preserve">第三章 </w:t>
          </w:r>
          <w:r>
            <w:t>评标办法</w:t>
          </w:r>
          <w:r>
            <w:tab/>
          </w:r>
          <w:r>
            <w:fldChar w:fldCharType="begin"/>
          </w:r>
          <w:r>
            <w:instrText xml:space="preserve"> PAGEREF _Toc8498 \h </w:instrText>
          </w:r>
          <w:r>
            <w:fldChar w:fldCharType="separate"/>
          </w:r>
          <w:r>
            <w:t>27</w:t>
          </w:r>
          <w:r>
            <w:fldChar w:fldCharType="end"/>
          </w:r>
          <w:r>
            <w:fldChar w:fldCharType="end"/>
          </w:r>
        </w:p>
        <w:p>
          <w:pPr>
            <w:pStyle w:val="18"/>
            <w:tabs>
              <w:tab w:val="right" w:leader="dot" w:pos="9076"/>
            </w:tabs>
            <w:topLinePunct/>
            <w:autoSpaceDE/>
            <w:autoSpaceDN/>
            <w:spacing w:before="0" w:line="360" w:lineRule="auto"/>
            <w:ind w:right="0"/>
            <w:jc w:val="left"/>
          </w:pPr>
          <w:r>
            <w:fldChar w:fldCharType="begin"/>
          </w:r>
          <w:r>
            <w:instrText xml:space="preserve"> HYPERLINK \l "_Toc17919" </w:instrText>
          </w:r>
          <w:r>
            <w:fldChar w:fldCharType="separate"/>
          </w:r>
          <w:r>
            <w:rPr>
              <w:szCs w:val="21"/>
            </w:rPr>
            <w:t>一、初步评审表</w:t>
          </w:r>
          <w:r>
            <w:tab/>
          </w:r>
          <w:r>
            <w:fldChar w:fldCharType="begin"/>
          </w:r>
          <w:r>
            <w:instrText xml:space="preserve"> PAGEREF _Toc17919 \h </w:instrText>
          </w:r>
          <w:r>
            <w:fldChar w:fldCharType="separate"/>
          </w:r>
          <w:r>
            <w:t>27</w:t>
          </w:r>
          <w:r>
            <w:fldChar w:fldCharType="end"/>
          </w:r>
          <w:r>
            <w:fldChar w:fldCharType="end"/>
          </w:r>
        </w:p>
        <w:p>
          <w:pPr>
            <w:pStyle w:val="12"/>
            <w:tabs>
              <w:tab w:val="right" w:leader="dot" w:pos="9076"/>
            </w:tabs>
            <w:topLinePunct/>
            <w:autoSpaceDE/>
            <w:autoSpaceDN/>
            <w:spacing w:line="360" w:lineRule="auto"/>
            <w:ind w:left="0"/>
          </w:pPr>
          <w:r>
            <w:fldChar w:fldCharType="begin"/>
          </w:r>
          <w:r>
            <w:instrText xml:space="preserve"> HYPERLINK \l "_Toc18865" </w:instrText>
          </w:r>
          <w:r>
            <w:fldChar w:fldCharType="separate"/>
          </w:r>
          <w:r>
            <w:t>二、详细评审标准</w:t>
          </w:r>
          <w:r>
            <w:tab/>
          </w:r>
          <w:r>
            <w:fldChar w:fldCharType="begin"/>
          </w:r>
          <w:r>
            <w:instrText xml:space="preserve"> PAGEREF _Toc18865 \h </w:instrText>
          </w:r>
          <w:r>
            <w:fldChar w:fldCharType="separate"/>
          </w:r>
          <w:r>
            <w:t>28</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"_Toc27901" </w:instrText>
          </w:r>
          <w:r>
            <w:fldChar w:fldCharType="separate"/>
          </w:r>
          <w:r>
            <w:rPr>
              <w:rFonts w:hint="eastAsia"/>
              <w:bCs/>
            </w:rPr>
            <w:t>三、 评标结果</w:t>
          </w:r>
          <w:r>
            <w:tab/>
          </w:r>
          <w:r>
            <w:fldChar w:fldCharType="begin"/>
          </w:r>
          <w:r>
            <w:instrText xml:space="preserve"> PAGEREF _Toc27901 \h </w:instrText>
          </w:r>
          <w:r>
            <w:fldChar w:fldCharType="separate"/>
          </w:r>
          <w:r>
            <w:t>32</w:t>
          </w:r>
          <w:r>
            <w:fldChar w:fldCharType="end"/>
          </w:r>
          <w:r>
            <w:fldChar w:fldCharType="end"/>
          </w:r>
        </w:p>
        <w:p>
          <w:pPr>
            <w:pStyle w:val="18"/>
            <w:tabs>
              <w:tab w:val="right" w:leader="dot" w:pos="9076"/>
            </w:tabs>
            <w:topLinePunct/>
            <w:autoSpaceDE/>
            <w:autoSpaceDN/>
            <w:spacing w:line="360" w:lineRule="auto"/>
            <w:ind w:right="0"/>
            <w:jc w:val="left"/>
            <w:rPr>
              <w:b/>
              <w:bCs/>
            </w:rPr>
          </w:pPr>
          <w:r>
            <w:fldChar w:fldCharType="begin"/>
          </w:r>
          <w:r>
            <w:instrText xml:space="preserve"> HYPERLINK \l "_Toc10717" </w:instrText>
          </w:r>
          <w:r>
            <w:fldChar w:fldCharType="separate"/>
          </w:r>
          <w:r>
            <w:rPr>
              <w:rFonts w:hint="eastAsia"/>
              <w:b/>
              <w:bCs/>
            </w:rPr>
            <w:t xml:space="preserve">第四章 </w:t>
          </w:r>
          <w:r>
            <w:rPr>
              <w:b/>
              <w:bCs/>
            </w:rPr>
            <w:t>合同条款</w:t>
          </w:r>
          <w:r>
            <w:rPr>
              <w:b/>
              <w:bCs/>
            </w:rPr>
            <w:tab/>
          </w:r>
          <w:r>
            <w:rPr>
              <w:b/>
              <w:bCs/>
            </w:rPr>
            <w:fldChar w:fldCharType="begin"/>
          </w:r>
          <w:r>
            <w:rPr>
              <w:b/>
              <w:bCs/>
            </w:rPr>
            <w:instrText xml:space="preserve"> PAGEREF _Toc10717 \h </w:instrText>
          </w:r>
          <w:r>
            <w:rPr>
              <w:b/>
              <w:bCs/>
            </w:rPr>
            <w:fldChar w:fldCharType="separate"/>
          </w:r>
          <w:r>
            <w:rPr>
              <w:b/>
              <w:bCs/>
            </w:rPr>
            <w:t>33</w:t>
          </w:r>
          <w:r>
            <w:rPr>
              <w:b/>
              <w:bCs/>
            </w:rPr>
            <w:fldChar w:fldCharType="end"/>
          </w:r>
          <w:r>
            <w:rPr>
              <w:b/>
              <w:bCs/>
            </w:rP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"_Toc10528" </w:instrText>
          </w:r>
          <w:r>
            <w:fldChar w:fldCharType="separate"/>
          </w:r>
          <w:r>
            <w:rPr>
              <w:b/>
              <w:bCs/>
            </w:rPr>
            <w:t>第五章 项目内容和要求</w:t>
          </w:r>
          <w:r>
            <w:rPr>
              <w:b/>
              <w:bCs/>
            </w:rPr>
            <w:tab/>
          </w:r>
          <w:r>
            <w:rPr>
              <w:b/>
              <w:bCs/>
            </w:rPr>
            <w:fldChar w:fldCharType="begin"/>
          </w:r>
          <w:r>
            <w:rPr>
              <w:b/>
              <w:bCs/>
            </w:rPr>
            <w:instrText xml:space="preserve"> PAGEREF _Toc10528 \h </w:instrText>
          </w:r>
          <w:r>
            <w:rPr>
              <w:b/>
              <w:bCs/>
            </w:rPr>
            <w:fldChar w:fldCharType="separate"/>
          </w:r>
          <w:r>
            <w:rPr>
              <w:b/>
              <w:bCs/>
            </w:rPr>
            <w:t>40</w:t>
          </w:r>
          <w:r>
            <w:rPr>
              <w:b/>
              <w:bCs/>
            </w:rPr>
            <w:fldChar w:fldCharType="end"/>
          </w:r>
          <w:r>
            <w:rPr>
              <w:b/>
              <w:bCs/>
            </w:rP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"_Toc19234" </w:instrText>
          </w:r>
          <w:r>
            <w:fldChar w:fldCharType="separate"/>
          </w:r>
          <w:r>
            <w:rPr>
              <w:rFonts w:hint="eastAsia"/>
            </w:rPr>
            <w:t>一、 项目概况</w:t>
          </w:r>
          <w:r>
            <w:tab/>
          </w:r>
          <w:r>
            <w:fldChar w:fldCharType="begin"/>
          </w:r>
          <w:r>
            <w:instrText xml:space="preserve"> PAGEREF _Toc19234 \h </w:instrText>
          </w:r>
          <w:r>
            <w:fldChar w:fldCharType="separate"/>
          </w:r>
          <w:r>
            <w:t>40</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"_Toc364" </w:instrText>
          </w:r>
          <w:r>
            <w:fldChar w:fldCharType="separate"/>
          </w:r>
          <w:r>
            <w:rPr>
              <w:rFonts w:hint="eastAsia"/>
            </w:rPr>
            <w:t>二、采购需求</w:t>
          </w:r>
          <w:r>
            <w:tab/>
          </w:r>
          <w:r>
            <w:fldChar w:fldCharType="begin"/>
          </w:r>
          <w:r>
            <w:instrText xml:space="preserve"> PAGEREF _Toc364 \h </w:instrText>
          </w:r>
          <w:r>
            <w:fldChar w:fldCharType="separate"/>
          </w:r>
          <w:r>
            <w:t>40</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"_Toc22162" </w:instrText>
          </w:r>
          <w:r>
            <w:fldChar w:fldCharType="separate"/>
          </w:r>
          <w:r>
            <w:rPr>
              <w:rFonts w:hint="eastAsia"/>
            </w:rPr>
            <w:t>三、</w:t>
          </w:r>
          <w:r>
            <w:t>技术要求</w:t>
          </w:r>
          <w:r>
            <w:tab/>
          </w:r>
          <w:r>
            <w:fldChar w:fldCharType="begin"/>
          </w:r>
          <w:r>
            <w:instrText xml:space="preserve"> PAGEREF _Toc22162 \h </w:instrText>
          </w:r>
          <w:r>
            <w:fldChar w:fldCharType="separate"/>
          </w:r>
          <w:r>
            <w:t>41</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"_Toc18499" </w:instrText>
          </w:r>
          <w:r>
            <w:fldChar w:fldCharType="separate"/>
          </w:r>
          <w:r>
            <w:rPr>
              <w:rFonts w:hint="eastAsia"/>
              <w:szCs w:val="28"/>
            </w:rPr>
            <w:t>四、服务人员要求</w:t>
          </w:r>
          <w:r>
            <w:tab/>
          </w:r>
          <w:r>
            <w:fldChar w:fldCharType="begin"/>
          </w:r>
          <w:r>
            <w:instrText xml:space="preserve"> PAGEREF _Toc18499 \h </w:instrText>
          </w:r>
          <w:r>
            <w:fldChar w:fldCharType="separate"/>
          </w:r>
          <w:r>
            <w:t>48</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"_Toc21561" </w:instrText>
          </w:r>
          <w:r>
            <w:fldChar w:fldCharType="separate"/>
          </w:r>
          <w:r>
            <w:rPr>
              <w:rFonts w:hint="eastAsia"/>
            </w:rPr>
            <w:t>五、考核标准</w:t>
          </w:r>
          <w:r>
            <w:tab/>
          </w:r>
          <w:r>
            <w:fldChar w:fldCharType="begin"/>
          </w:r>
          <w:r>
            <w:instrText xml:space="preserve"> PAGEREF _Toc21561 \h </w:instrText>
          </w:r>
          <w:r>
            <w:fldChar w:fldCharType="separate"/>
          </w:r>
          <w:r>
            <w:t>49</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"_Toc12268" </w:instrText>
          </w:r>
          <w:r>
            <w:fldChar w:fldCharType="separate"/>
          </w:r>
          <w:r>
            <w:rPr>
              <w:rFonts w:hint="eastAsia"/>
            </w:rPr>
            <w:t>六、其他要求</w:t>
          </w:r>
          <w:r>
            <w:tab/>
          </w:r>
          <w:r>
            <w:fldChar w:fldCharType="begin"/>
          </w:r>
          <w:r>
            <w:instrText xml:space="preserve"> PAGEREF _Toc12268 \h </w:instrText>
          </w:r>
          <w:r>
            <w:fldChar w:fldCharType="separate"/>
          </w:r>
          <w:r>
            <w:t>49</w:t>
          </w:r>
          <w:r>
            <w:fldChar w:fldCharType="end"/>
          </w:r>
          <w:r>
            <w:fldChar w:fldCharType="end"/>
          </w:r>
        </w:p>
        <w:p>
          <w:pPr>
            <w:pStyle w:val="18"/>
            <w:tabs>
              <w:tab w:val="right" w:pos="2800"/>
              <w:tab w:val="right" w:leader="dot" w:pos="9076"/>
            </w:tabs>
            <w:topLinePunct/>
            <w:autoSpaceDE/>
            <w:autoSpaceDN/>
            <w:spacing w:line="360" w:lineRule="auto"/>
            <w:ind w:right="0"/>
            <w:jc w:val="left"/>
            <w:rPr>
              <w:b/>
              <w:bCs/>
            </w:rPr>
          </w:pPr>
          <w:r>
            <w:fldChar w:fldCharType="begin"/>
          </w:r>
          <w:r>
            <w:instrText xml:space="preserve"> HYPERLINK \l "_Toc30211" </w:instrText>
          </w:r>
          <w:r>
            <w:fldChar w:fldCharType="separate"/>
          </w:r>
          <w:r>
            <w:rPr>
              <w:b/>
              <w:bCs/>
            </w:rPr>
            <w:t>第六章</w:t>
          </w:r>
          <w:r>
            <w:rPr>
              <w:b/>
              <w:bCs/>
            </w:rPr>
            <w:tab/>
          </w:r>
          <w:r>
            <w:rPr>
              <w:b/>
              <w:bCs/>
            </w:rPr>
            <w:t>投标文件格式</w:t>
          </w:r>
          <w:r>
            <w:rPr>
              <w:b/>
              <w:bCs/>
            </w:rPr>
            <w:tab/>
          </w:r>
          <w:r>
            <w:rPr>
              <w:b/>
              <w:bCs/>
            </w:rPr>
            <w:fldChar w:fldCharType="begin"/>
          </w:r>
          <w:r>
            <w:rPr>
              <w:b/>
              <w:bCs/>
            </w:rPr>
            <w:instrText xml:space="preserve"> PAGEREF _Toc30211 \h </w:instrText>
          </w:r>
          <w:r>
            <w:rPr>
              <w:b/>
              <w:bCs/>
            </w:rPr>
            <w:fldChar w:fldCharType="separate"/>
          </w:r>
          <w:r>
            <w:rPr>
              <w:b/>
              <w:bCs/>
            </w:rPr>
            <w:t>51</w:t>
          </w:r>
          <w:r>
            <w:rPr>
              <w:b/>
              <w:bCs/>
            </w:rPr>
            <w:fldChar w:fldCharType="end"/>
          </w:r>
          <w:r>
            <w:rPr>
              <w:b/>
              <w:bCs/>
            </w:rP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"_Toc20573" </w:instrText>
          </w:r>
          <w:r>
            <w:fldChar w:fldCharType="separate"/>
          </w:r>
          <w:r>
            <w:rPr>
              <w:szCs w:val="28"/>
            </w:rPr>
            <w:t>一、投标函及投标函附录</w:t>
          </w:r>
          <w:r>
            <w:tab/>
          </w:r>
          <w:r>
            <w:fldChar w:fldCharType="begin"/>
          </w:r>
          <w:r>
            <w:instrText xml:space="preserve"> PAGEREF _Toc20573 \h </w:instrText>
          </w:r>
          <w:r>
            <w:fldChar w:fldCharType="separate"/>
          </w:r>
          <w:r>
            <w:t>53</w:t>
          </w:r>
          <w:r>
            <w:fldChar w:fldCharType="end"/>
          </w:r>
          <w:r>
            <w:fldChar w:fldCharType="end"/>
          </w:r>
        </w:p>
        <w:p>
          <w:pPr>
            <w:pStyle w:val="12"/>
            <w:tabs>
              <w:tab w:val="right" w:leader="dot" w:pos="9076"/>
            </w:tabs>
            <w:topLinePunct/>
            <w:autoSpaceDE/>
            <w:autoSpaceDN/>
            <w:spacing w:line="360" w:lineRule="auto"/>
            <w:ind w:left="0"/>
          </w:pPr>
          <w:r>
            <w:fldChar w:fldCharType="begin"/>
          </w:r>
          <w:r>
            <w:instrText xml:space="preserve"> HYPERLINK \l "_Toc21217" </w:instrText>
          </w:r>
          <w:r>
            <w:fldChar w:fldCharType="separate"/>
          </w:r>
          <w:r>
            <w:t>（一）投 标 函</w:t>
          </w:r>
          <w:r>
            <w:tab/>
          </w:r>
          <w:r>
            <w:fldChar w:fldCharType="begin"/>
          </w:r>
          <w:r>
            <w:instrText xml:space="preserve"> PAGEREF _Toc21217 \h </w:instrText>
          </w:r>
          <w:r>
            <w:fldChar w:fldCharType="separate"/>
          </w:r>
          <w:r>
            <w:t>53</w:t>
          </w:r>
          <w:r>
            <w:fldChar w:fldCharType="end"/>
          </w:r>
          <w:r>
            <w:fldChar w:fldCharType="end"/>
          </w:r>
        </w:p>
        <w:p>
          <w:pPr>
            <w:pStyle w:val="12"/>
            <w:tabs>
              <w:tab w:val="right" w:leader="dot" w:pos="9076"/>
            </w:tabs>
            <w:topLinePunct/>
            <w:autoSpaceDE/>
            <w:autoSpaceDN/>
            <w:spacing w:line="360" w:lineRule="auto"/>
            <w:ind w:left="0"/>
          </w:pPr>
          <w:r>
            <w:fldChar w:fldCharType="begin"/>
          </w:r>
          <w:r>
            <w:instrText xml:space="preserve"> HYPERLINK \l "_Toc4172" </w:instrText>
          </w:r>
          <w:r>
            <w:fldChar w:fldCharType="separate"/>
          </w:r>
          <w:r>
            <w:t>（二）投标函附录</w:t>
          </w:r>
          <w:r>
            <w:tab/>
          </w:r>
          <w:r>
            <w:fldChar w:fldCharType="begin"/>
          </w:r>
          <w:r>
            <w:instrText xml:space="preserve"> PAGEREF _Toc4172 \h </w:instrText>
          </w:r>
          <w:r>
            <w:fldChar w:fldCharType="separate"/>
          </w:r>
          <w:r>
            <w:t>54</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"_Toc23573" </w:instrText>
          </w:r>
          <w:r>
            <w:fldChar w:fldCharType="separate"/>
          </w:r>
          <w:r>
            <w:rPr>
              <w:rFonts w:hint="eastAsia"/>
              <w:szCs w:val="28"/>
              <w:lang w:val="en-US"/>
            </w:rPr>
            <w:t>二、法定代表人身份证明</w:t>
          </w:r>
          <w:r>
            <w:tab/>
          </w:r>
          <w:r>
            <w:fldChar w:fldCharType="begin"/>
          </w:r>
          <w:r>
            <w:instrText xml:space="preserve"> PAGEREF _Toc23573 \h </w:instrText>
          </w:r>
          <w:r>
            <w:fldChar w:fldCharType="separate"/>
          </w:r>
          <w:r>
            <w:t>55</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"_Toc13266" </w:instrText>
          </w:r>
          <w:r>
            <w:fldChar w:fldCharType="separate"/>
          </w:r>
          <w:r>
            <w:rPr>
              <w:szCs w:val="28"/>
            </w:rPr>
            <w:t>三、授权委托书</w:t>
          </w:r>
          <w:r>
            <w:tab/>
          </w:r>
          <w:r>
            <w:fldChar w:fldCharType="begin"/>
          </w:r>
          <w:r>
            <w:instrText xml:space="preserve"> PAGEREF _Toc13266 \h </w:instrText>
          </w:r>
          <w:r>
            <w:fldChar w:fldCharType="separate"/>
          </w:r>
          <w:r>
            <w:t>56</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"_Toc26050" </w:instrText>
          </w:r>
          <w:r>
            <w:fldChar w:fldCharType="separate"/>
          </w:r>
          <w:r>
            <w:rPr>
              <w:szCs w:val="28"/>
            </w:rPr>
            <w:t>四、</w:t>
          </w:r>
          <w:r>
            <w:rPr>
              <w:rFonts w:hint="eastAsia"/>
              <w:szCs w:val="28"/>
            </w:rPr>
            <w:t>技术部分</w:t>
          </w:r>
          <w:r>
            <w:tab/>
          </w:r>
          <w:r>
            <w:fldChar w:fldCharType="begin"/>
          </w:r>
          <w:r>
            <w:instrText xml:space="preserve"> PAGEREF _Toc26050 \h </w:instrText>
          </w:r>
          <w:r>
            <w:fldChar w:fldCharType="separate"/>
          </w:r>
          <w:r>
            <w:t>57</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"_Toc9513" </w:instrText>
          </w:r>
          <w:r>
            <w:fldChar w:fldCharType="separate"/>
          </w:r>
          <w:r>
            <w:rPr>
              <w:szCs w:val="28"/>
            </w:rPr>
            <w:t>五、项目管理机构（格式自拟）</w:t>
          </w:r>
          <w:r>
            <w:tab/>
          </w:r>
          <w:r>
            <w:fldChar w:fldCharType="begin"/>
          </w:r>
          <w:r>
            <w:instrText xml:space="preserve"> PAGEREF _Toc9513 \h </w:instrText>
          </w:r>
          <w:r>
            <w:fldChar w:fldCharType="separate"/>
          </w:r>
          <w:r>
            <w:t>58</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"_Toc28742" </w:instrText>
          </w:r>
          <w:r>
            <w:fldChar w:fldCharType="separate"/>
          </w:r>
          <w:r>
            <w:rPr>
              <w:szCs w:val="28"/>
            </w:rPr>
            <w:t>六、资格审查相关资料</w:t>
          </w:r>
          <w:r>
            <w:tab/>
          </w:r>
          <w:r>
            <w:fldChar w:fldCharType="begin"/>
          </w:r>
          <w:r>
            <w:instrText xml:space="preserve"> PAGEREF _Toc28742 \h </w:instrText>
          </w:r>
          <w:r>
            <w:fldChar w:fldCharType="separate"/>
          </w:r>
          <w:r>
            <w:t>59</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"_Toc23232" </w:instrText>
          </w:r>
          <w:r>
            <w:fldChar w:fldCharType="separate"/>
          </w:r>
          <w:r>
            <w:rPr>
              <w:szCs w:val="28"/>
            </w:rPr>
            <w:t>七、投标承诺函</w:t>
          </w:r>
          <w:r>
            <w:tab/>
          </w:r>
          <w:r>
            <w:fldChar w:fldCharType="begin"/>
          </w:r>
          <w:r>
            <w:instrText xml:space="preserve"> PAGEREF _Toc23232 \h </w:instrText>
          </w:r>
          <w:r>
            <w:fldChar w:fldCharType="separate"/>
          </w:r>
          <w:r>
            <w:t>60</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"_Toc28770" </w:instrText>
          </w:r>
          <w:r>
            <w:fldChar w:fldCharType="separate"/>
          </w:r>
          <w:r>
            <w:rPr>
              <w:rFonts w:hint="eastAsia"/>
              <w:szCs w:val="28"/>
            </w:rPr>
            <w:t>八</w:t>
          </w:r>
          <w:r>
            <w:rPr>
              <w:szCs w:val="28"/>
            </w:rPr>
            <w:t>、招标文件确认书</w:t>
          </w:r>
          <w:r>
            <w:tab/>
          </w:r>
          <w:r>
            <w:fldChar w:fldCharType="begin"/>
          </w:r>
          <w:r>
            <w:instrText xml:space="preserve"> PAGEREF _Toc28770 \h </w:instrText>
          </w:r>
          <w:r>
            <w:fldChar w:fldCharType="separate"/>
          </w:r>
          <w:r>
            <w:t>62</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"_Toc18745" </w:instrText>
          </w:r>
          <w:r>
            <w:fldChar w:fldCharType="separate"/>
          </w:r>
          <w:r>
            <w:rPr>
              <w:rFonts w:hint="eastAsia"/>
              <w:szCs w:val="28"/>
            </w:rPr>
            <w:t>九</w:t>
          </w:r>
          <w:r>
            <w:rPr>
              <w:szCs w:val="28"/>
            </w:rPr>
            <w:t>、承诺书</w:t>
          </w:r>
          <w:r>
            <w:tab/>
          </w:r>
          <w:r>
            <w:fldChar w:fldCharType="begin"/>
          </w:r>
          <w:r>
            <w:instrText xml:space="preserve"> PAGEREF _Toc18745 \h </w:instrText>
          </w:r>
          <w:r>
            <w:fldChar w:fldCharType="separate"/>
          </w:r>
          <w:r>
            <w:t>63</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"_Toc26287" </w:instrText>
          </w:r>
          <w:r>
            <w:fldChar w:fldCharType="separate"/>
          </w:r>
          <w:r>
            <w:rPr>
              <w:szCs w:val="28"/>
            </w:rPr>
            <w:t>十、其它材料</w:t>
          </w:r>
          <w:r>
            <w:tab/>
          </w:r>
          <w:r>
            <w:fldChar w:fldCharType="begin"/>
          </w:r>
          <w:r>
            <w:instrText xml:space="preserve"> PAGEREF _Toc26287 \h </w:instrText>
          </w:r>
          <w:r>
            <w:fldChar w:fldCharType="separate"/>
          </w:r>
          <w:r>
            <w:t>64</w:t>
          </w:r>
          <w:r>
            <w:fldChar w:fldCharType="end"/>
          </w:r>
          <w:r>
            <w:fldChar w:fldCharType="end"/>
          </w:r>
        </w:p>
        <w:p>
          <w:pPr>
            <w:pStyle w:val="18"/>
            <w:tabs>
              <w:tab w:val="right" w:leader="dot" w:pos="9076"/>
            </w:tabs>
            <w:topLinePunct/>
            <w:autoSpaceDE/>
            <w:autoSpaceDN/>
            <w:spacing w:line="360" w:lineRule="auto"/>
            <w:ind w:right="0"/>
            <w:jc w:val="left"/>
          </w:pPr>
          <w:r>
            <w:fldChar w:fldCharType="begin"/>
          </w:r>
          <w:r>
            <w:instrText xml:space="preserve"> HYPERLINK \l "_Toc30405" </w:instrText>
          </w:r>
          <w:r>
            <w:fldChar w:fldCharType="separate"/>
          </w:r>
          <w:r>
            <w:rPr>
              <w:szCs w:val="28"/>
            </w:rPr>
            <w:t>十</w:t>
          </w:r>
          <w:r>
            <w:rPr>
              <w:rFonts w:hint="eastAsia"/>
              <w:szCs w:val="28"/>
            </w:rPr>
            <w:t>一</w:t>
          </w:r>
          <w:r>
            <w:rPr>
              <w:szCs w:val="28"/>
            </w:rPr>
            <w:t>、享受政府采购政策的证明材料</w:t>
          </w:r>
          <w:r>
            <w:tab/>
          </w:r>
          <w:r>
            <w:fldChar w:fldCharType="begin"/>
          </w:r>
          <w:r>
            <w:instrText xml:space="preserve"> PAGEREF _Toc30405 \h </w:instrText>
          </w:r>
          <w:r>
            <w:fldChar w:fldCharType="separate"/>
          </w:r>
          <w:r>
            <w:t>65</w:t>
          </w:r>
          <w:r>
            <w:fldChar w:fldCharType="end"/>
          </w:r>
          <w:r>
            <w:fldChar w:fldCharType="end"/>
          </w:r>
        </w:p>
        <w:p>
          <w:pPr>
            <w:pStyle w:val="12"/>
            <w:tabs>
              <w:tab w:val="right" w:leader="dot" w:pos="9076"/>
            </w:tabs>
            <w:topLinePunct/>
            <w:autoSpaceDE/>
            <w:autoSpaceDN/>
            <w:spacing w:line="360" w:lineRule="auto"/>
            <w:ind w:left="0"/>
          </w:pPr>
          <w:r>
            <w:fldChar w:fldCharType="begin"/>
          </w:r>
          <w:r>
            <w:instrText xml:space="preserve"> HYPERLINK \l "_Toc11212" </w:instrText>
          </w:r>
          <w:r>
            <w:fldChar w:fldCharType="separate"/>
          </w:r>
          <w:r>
            <w:t>1、中小企业声明函（工程、服务）</w:t>
          </w:r>
          <w:r>
            <w:tab/>
          </w:r>
          <w:r>
            <w:fldChar w:fldCharType="begin"/>
          </w:r>
          <w:r>
            <w:instrText xml:space="preserve"> PAGEREF _Toc11212 \h </w:instrText>
          </w:r>
          <w:r>
            <w:fldChar w:fldCharType="separate"/>
          </w:r>
          <w:r>
            <w:t>65</w:t>
          </w:r>
          <w:r>
            <w:fldChar w:fldCharType="end"/>
          </w:r>
          <w:r>
            <w:fldChar w:fldCharType="end"/>
          </w:r>
        </w:p>
        <w:p>
          <w:pPr>
            <w:pStyle w:val="12"/>
            <w:tabs>
              <w:tab w:val="right" w:leader="dot" w:pos="9076"/>
            </w:tabs>
            <w:topLinePunct/>
            <w:autoSpaceDE/>
            <w:autoSpaceDN/>
            <w:spacing w:line="360" w:lineRule="auto"/>
            <w:ind w:left="0"/>
          </w:pPr>
          <w:r>
            <w:fldChar w:fldCharType="begin"/>
          </w:r>
          <w:r>
            <w:instrText xml:space="preserve"> HYPERLINK \l "_Toc16591" </w:instrText>
          </w:r>
          <w:r>
            <w:fldChar w:fldCharType="separate"/>
          </w:r>
          <w:r>
            <w:rPr>
              <w:bCs/>
            </w:rPr>
            <w:t>2、残疾人福利性单位声明函</w:t>
          </w:r>
          <w:r>
            <w:tab/>
          </w:r>
          <w:r>
            <w:fldChar w:fldCharType="begin"/>
          </w:r>
          <w:r>
            <w:instrText xml:space="preserve"> PAGEREF _Toc16591 \h </w:instrText>
          </w:r>
          <w:r>
            <w:fldChar w:fldCharType="separate"/>
          </w:r>
          <w:r>
            <w:t>66</w:t>
          </w:r>
          <w:r>
            <w:fldChar w:fldCharType="end"/>
          </w:r>
          <w:r>
            <w:fldChar w:fldCharType="end"/>
          </w:r>
        </w:p>
        <w:p>
          <w:pPr>
            <w:pStyle w:val="12"/>
            <w:tabs>
              <w:tab w:val="right" w:leader="dot" w:pos="9076"/>
            </w:tabs>
            <w:topLinePunct/>
            <w:autoSpaceDE/>
            <w:autoSpaceDN/>
            <w:spacing w:line="360" w:lineRule="auto"/>
            <w:ind w:left="0"/>
          </w:pPr>
          <w:r>
            <w:fldChar w:fldCharType="begin"/>
          </w:r>
          <w:r>
            <w:instrText xml:space="preserve"> HYPERLINK \l "_Toc31151" </w:instrText>
          </w:r>
          <w:r>
            <w:fldChar w:fldCharType="separate"/>
          </w:r>
          <w:r>
            <w:rPr>
              <w:bCs/>
            </w:rPr>
            <w:t>3、监狱企业证明文件</w:t>
          </w:r>
          <w:r>
            <w:tab/>
          </w:r>
          <w:r>
            <w:fldChar w:fldCharType="begin"/>
          </w:r>
          <w:r>
            <w:instrText xml:space="preserve"> PAGEREF _Toc31151 \h </w:instrText>
          </w:r>
          <w:r>
            <w:fldChar w:fldCharType="separate"/>
          </w:r>
          <w:r>
            <w:t>66</w:t>
          </w:r>
          <w:r>
            <w:fldChar w:fldCharType="end"/>
          </w:r>
          <w:r>
            <w:fldChar w:fldCharType="end"/>
          </w:r>
        </w:p>
        <w:p>
          <w:pPr>
            <w:spacing w:line="360" w:lineRule="auto"/>
            <w:rPr>
              <w:rFonts w:ascii="Times New Roman" w:eastAsia="Times New Roman"/>
            </w:rPr>
            <w:sectPr>
              <w:footerReference r:id="rId3" w:type="default"/>
              <w:pgSz w:w="11910" w:h="16840"/>
              <w:pgMar w:top="1361" w:right="1417" w:bottom="1361" w:left="1417" w:header="0" w:footer="913" w:gutter="0"/>
              <w:pgNumType w:start="1"/>
              <w:cols w:space="425" w:num="1"/>
            </w:sectPr>
          </w:pPr>
          <w:r>
            <w:rPr>
              <w:rFonts w:ascii="Times New Roman" w:eastAsia="Times New Roman"/>
            </w:rPr>
            <w:fldChar w:fldCharType="end"/>
          </w:r>
        </w:p>
      </w:sdtContent>
    </w:sdt>
    <w:p>
      <w:pPr>
        <w:pStyle w:val="3"/>
        <w:tabs>
          <w:tab w:val="left" w:pos="1204"/>
        </w:tabs>
        <w:spacing w:before="0" w:line="360" w:lineRule="auto"/>
        <w:ind w:left="0"/>
        <w:jc w:val="center"/>
      </w:pPr>
      <w:bookmarkStart w:id="0" w:name="_Toc24523"/>
      <w:r>
        <w:t>第一章</w:t>
      </w:r>
      <w:r>
        <w:rPr>
          <w:rFonts w:hint="eastAsia"/>
          <w:lang w:val="en-US"/>
        </w:rPr>
        <w:t xml:space="preserve"> </w:t>
      </w:r>
      <w:r>
        <w:t>招标公告</w:t>
      </w:r>
      <w:bookmarkEnd w:id="0"/>
    </w:p>
    <w:p>
      <w:pPr>
        <w:spacing w:line="360" w:lineRule="auto"/>
        <w:jc w:val="center"/>
        <w:rPr>
          <w:b/>
          <w:bCs/>
          <w:sz w:val="28"/>
          <w:szCs w:val="28"/>
        </w:rPr>
      </w:pPr>
      <w:r>
        <w:rPr>
          <w:rFonts w:hint="eastAsia"/>
          <w:b/>
          <w:bCs/>
          <w:sz w:val="28"/>
          <w:szCs w:val="28"/>
        </w:rPr>
        <w:t>南阳市生态环境局大气污染防治精准决策系统建设与技术服务项目</w:t>
      </w:r>
    </w:p>
    <w:p>
      <w:pPr>
        <w:spacing w:line="360" w:lineRule="auto"/>
        <w:jc w:val="center"/>
        <w:rPr>
          <w:b/>
          <w:bCs/>
          <w:sz w:val="36"/>
          <w:szCs w:val="36"/>
        </w:rPr>
      </w:pPr>
      <w:r>
        <w:rPr>
          <w:rFonts w:hint="eastAsia"/>
          <w:b/>
          <w:bCs/>
          <w:sz w:val="28"/>
          <w:szCs w:val="28"/>
        </w:rPr>
        <w:t>公开招标公告</w:t>
      </w:r>
    </w:p>
    <w:p>
      <w:pPr>
        <w:spacing w:line="360" w:lineRule="auto"/>
        <w:ind w:firstLine="482" w:firstLineChars="200"/>
        <w:rPr>
          <w:b/>
          <w:bCs/>
          <w:sz w:val="24"/>
          <w:szCs w:val="24"/>
        </w:rPr>
      </w:pPr>
      <w:r>
        <w:rPr>
          <w:rFonts w:hint="eastAsia"/>
          <w:b/>
          <w:bCs/>
          <w:sz w:val="24"/>
          <w:szCs w:val="24"/>
        </w:rPr>
        <w:t>项目概况</w:t>
      </w:r>
    </w:p>
    <w:p>
      <w:pPr>
        <w:spacing w:line="360" w:lineRule="auto"/>
        <w:ind w:firstLine="480" w:firstLineChars="200"/>
        <w:rPr>
          <w:sz w:val="24"/>
          <w:szCs w:val="24"/>
        </w:rPr>
      </w:pPr>
      <w:r>
        <w:rPr>
          <w:rFonts w:hint="eastAsia"/>
          <w:sz w:val="24"/>
          <w:szCs w:val="24"/>
        </w:rPr>
        <w:t>南阳市生态环境局大气污染防治精准决策系统建设与技术服务项目招标项目的潜在投标人应在南阳市公共资源交易网（www.nyggzyjy.cn）获取招标文件，并于2021年</w:t>
      </w:r>
      <w:r>
        <w:rPr>
          <w:rFonts w:hint="eastAsia"/>
          <w:sz w:val="24"/>
          <w:szCs w:val="24"/>
          <w:lang w:val="en-US" w:eastAsia="zh-CN"/>
        </w:rPr>
        <w:t>11</w:t>
      </w:r>
      <w:r>
        <w:rPr>
          <w:rFonts w:hint="eastAsia"/>
          <w:sz w:val="24"/>
          <w:szCs w:val="24"/>
        </w:rPr>
        <w:t>月</w:t>
      </w:r>
      <w:r>
        <w:rPr>
          <w:rFonts w:hint="eastAsia"/>
          <w:sz w:val="24"/>
          <w:szCs w:val="24"/>
          <w:lang w:val="en-US" w:eastAsia="zh-CN"/>
        </w:rPr>
        <w:t>11</w:t>
      </w:r>
      <w:r>
        <w:rPr>
          <w:rFonts w:hint="eastAsia"/>
          <w:sz w:val="24"/>
          <w:szCs w:val="24"/>
        </w:rPr>
        <w:t>日09时00分（北京时间）前递交投标文件。</w:t>
      </w:r>
    </w:p>
    <w:p>
      <w:pPr>
        <w:spacing w:line="360" w:lineRule="auto"/>
        <w:rPr>
          <w:b/>
          <w:bCs/>
          <w:sz w:val="24"/>
          <w:szCs w:val="24"/>
        </w:rPr>
      </w:pPr>
      <w:r>
        <w:rPr>
          <w:rFonts w:hint="eastAsia"/>
          <w:b/>
          <w:bCs/>
          <w:sz w:val="24"/>
          <w:szCs w:val="24"/>
        </w:rPr>
        <w:t>一、项目基本情况</w:t>
      </w:r>
    </w:p>
    <w:p>
      <w:pPr>
        <w:spacing w:line="360" w:lineRule="auto"/>
        <w:ind w:firstLine="480" w:firstLineChars="200"/>
        <w:rPr>
          <w:sz w:val="24"/>
          <w:szCs w:val="24"/>
        </w:rPr>
      </w:pPr>
      <w:r>
        <w:rPr>
          <w:rFonts w:hint="eastAsia"/>
          <w:sz w:val="24"/>
          <w:szCs w:val="24"/>
        </w:rPr>
        <w:t>1、项目编号：</w:t>
      </w:r>
      <w:r>
        <w:rPr>
          <w:rFonts w:hint="eastAsia"/>
          <w:sz w:val="24"/>
          <w:szCs w:val="24"/>
          <w:lang w:eastAsia="zh-CN"/>
        </w:rPr>
        <w:t>南阳政采公开-2021-10</w:t>
      </w:r>
      <w:r>
        <w:rPr>
          <w:rFonts w:hint="eastAsia"/>
          <w:sz w:val="24"/>
          <w:szCs w:val="24"/>
          <w:lang w:val="en-US" w:eastAsia="zh-CN"/>
        </w:rPr>
        <w:t>7</w:t>
      </w:r>
      <w:r>
        <w:rPr>
          <w:rFonts w:hint="eastAsia"/>
          <w:sz w:val="24"/>
          <w:szCs w:val="24"/>
        </w:rPr>
        <w:t xml:space="preserve"> </w:t>
      </w:r>
    </w:p>
    <w:p>
      <w:pPr>
        <w:spacing w:line="360" w:lineRule="auto"/>
        <w:ind w:firstLine="480" w:firstLineChars="200"/>
        <w:rPr>
          <w:sz w:val="24"/>
          <w:szCs w:val="24"/>
        </w:rPr>
      </w:pPr>
      <w:r>
        <w:rPr>
          <w:rFonts w:hint="eastAsia"/>
          <w:sz w:val="24"/>
          <w:szCs w:val="24"/>
        </w:rPr>
        <w:t>2、项目名称：南阳市生态环境局大气污染防治精准决策系统建设与技术服务项目</w:t>
      </w:r>
    </w:p>
    <w:p>
      <w:pPr>
        <w:spacing w:line="360" w:lineRule="auto"/>
        <w:ind w:firstLine="480" w:firstLineChars="200"/>
        <w:rPr>
          <w:sz w:val="24"/>
          <w:szCs w:val="24"/>
        </w:rPr>
      </w:pPr>
      <w:r>
        <w:rPr>
          <w:rFonts w:hint="eastAsia"/>
          <w:sz w:val="24"/>
          <w:szCs w:val="24"/>
        </w:rPr>
        <w:t>3、采购方式：公开招标</w:t>
      </w:r>
    </w:p>
    <w:p>
      <w:pPr>
        <w:spacing w:line="360" w:lineRule="auto"/>
        <w:ind w:firstLine="480" w:firstLineChars="200"/>
        <w:rPr>
          <w:sz w:val="24"/>
          <w:szCs w:val="24"/>
        </w:rPr>
      </w:pPr>
      <w:r>
        <w:rPr>
          <w:rFonts w:hint="eastAsia"/>
          <w:sz w:val="24"/>
          <w:szCs w:val="24"/>
        </w:rPr>
        <w:t>4、</w:t>
      </w:r>
      <w:r>
        <w:rPr>
          <w:rFonts w:hint="eastAsia"/>
          <w:sz w:val="24"/>
          <w:szCs w:val="24"/>
          <w:lang w:val="en-US"/>
        </w:rPr>
        <w:t xml:space="preserve"> </w:t>
      </w:r>
      <w:r>
        <w:rPr>
          <w:rFonts w:hint="eastAsia"/>
          <w:sz w:val="24"/>
          <w:szCs w:val="24"/>
        </w:rPr>
        <w:t>预算金额：</w:t>
      </w:r>
      <w:r>
        <w:rPr>
          <w:rFonts w:hint="eastAsia"/>
          <w:sz w:val="24"/>
          <w:szCs w:val="24"/>
          <w:lang w:val="en-US"/>
        </w:rPr>
        <w:t>35000000.00</w:t>
      </w:r>
      <w:r>
        <w:rPr>
          <w:rFonts w:hint="eastAsia"/>
          <w:sz w:val="24"/>
          <w:szCs w:val="24"/>
        </w:rPr>
        <w:t>元</w:t>
      </w:r>
      <w:r>
        <w:rPr>
          <w:rFonts w:hint="eastAsia"/>
          <w:sz w:val="24"/>
          <w:szCs w:val="24"/>
          <w:lang w:val="en-US"/>
        </w:rPr>
        <w:t xml:space="preserve">      </w:t>
      </w:r>
      <w:r>
        <w:rPr>
          <w:rFonts w:hint="eastAsia"/>
          <w:sz w:val="24"/>
          <w:szCs w:val="24"/>
        </w:rPr>
        <w:t>最高限价：</w:t>
      </w:r>
      <w:r>
        <w:rPr>
          <w:rFonts w:hint="eastAsia"/>
          <w:sz w:val="24"/>
          <w:szCs w:val="24"/>
          <w:lang w:val="en-US"/>
        </w:rPr>
        <w:t>35000000</w:t>
      </w:r>
      <w:r>
        <w:rPr>
          <w:rFonts w:hint="eastAsia"/>
          <w:sz w:val="24"/>
          <w:szCs w:val="24"/>
        </w:rPr>
        <w:t>.00元</w:t>
      </w: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137"/>
        <w:gridCol w:w="2050"/>
        <w:gridCol w:w="1964"/>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89" w:type="dxa"/>
            <w:vAlign w:val="center"/>
          </w:tcPr>
          <w:p>
            <w:pPr>
              <w:pStyle w:val="24"/>
              <w:adjustRightInd/>
              <w:spacing w:line="360" w:lineRule="auto"/>
              <w:jc w:val="center"/>
              <w:rPr>
                <w:color w:val="auto"/>
              </w:rPr>
            </w:pPr>
            <w:r>
              <w:rPr>
                <w:rFonts w:hint="eastAsia"/>
                <w:color w:val="auto"/>
              </w:rPr>
              <w:t>序号</w:t>
            </w:r>
          </w:p>
        </w:tc>
        <w:tc>
          <w:tcPr>
            <w:tcW w:w="2137" w:type="dxa"/>
            <w:vAlign w:val="center"/>
          </w:tcPr>
          <w:p>
            <w:pPr>
              <w:pStyle w:val="24"/>
              <w:adjustRightInd/>
              <w:spacing w:line="360" w:lineRule="auto"/>
              <w:jc w:val="center"/>
              <w:rPr>
                <w:color w:val="auto"/>
              </w:rPr>
            </w:pPr>
            <w:r>
              <w:rPr>
                <w:rFonts w:hint="eastAsia"/>
                <w:color w:val="auto"/>
              </w:rPr>
              <w:t>包号</w:t>
            </w:r>
          </w:p>
        </w:tc>
        <w:tc>
          <w:tcPr>
            <w:tcW w:w="2050" w:type="dxa"/>
            <w:vAlign w:val="center"/>
          </w:tcPr>
          <w:p>
            <w:pPr>
              <w:pStyle w:val="24"/>
              <w:adjustRightInd/>
              <w:spacing w:line="360" w:lineRule="auto"/>
              <w:jc w:val="center"/>
              <w:rPr>
                <w:color w:val="auto"/>
              </w:rPr>
            </w:pPr>
            <w:r>
              <w:rPr>
                <w:rFonts w:hint="eastAsia"/>
                <w:color w:val="auto"/>
              </w:rPr>
              <w:t>包名称</w:t>
            </w:r>
          </w:p>
        </w:tc>
        <w:tc>
          <w:tcPr>
            <w:tcW w:w="1964" w:type="dxa"/>
            <w:vAlign w:val="center"/>
          </w:tcPr>
          <w:p>
            <w:pPr>
              <w:pStyle w:val="24"/>
              <w:adjustRightInd/>
              <w:spacing w:line="360" w:lineRule="auto"/>
              <w:jc w:val="center"/>
              <w:rPr>
                <w:color w:val="auto"/>
              </w:rPr>
            </w:pPr>
            <w:r>
              <w:rPr>
                <w:rFonts w:hint="eastAsia"/>
                <w:color w:val="auto"/>
              </w:rPr>
              <w:t>包预算（元）</w:t>
            </w:r>
          </w:p>
        </w:tc>
        <w:tc>
          <w:tcPr>
            <w:tcW w:w="2048" w:type="dxa"/>
            <w:vAlign w:val="center"/>
          </w:tcPr>
          <w:p>
            <w:pPr>
              <w:pStyle w:val="24"/>
              <w:adjustRightInd/>
              <w:spacing w:line="360" w:lineRule="auto"/>
              <w:jc w:val="center"/>
              <w:rPr>
                <w:color w:val="auto"/>
              </w:rPr>
            </w:pPr>
            <w:r>
              <w:rPr>
                <w:rFonts w:hint="eastAsia"/>
                <w:color w:val="auto"/>
              </w:rPr>
              <w:t>包最高限（元）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pPr>
              <w:pStyle w:val="24"/>
              <w:adjustRightInd/>
              <w:spacing w:line="360" w:lineRule="auto"/>
              <w:jc w:val="center"/>
              <w:rPr>
                <w:color w:val="auto"/>
              </w:rPr>
            </w:pPr>
            <w:r>
              <w:rPr>
                <w:rFonts w:hint="eastAsia"/>
                <w:color w:val="auto"/>
              </w:rPr>
              <w:t>1</w:t>
            </w:r>
          </w:p>
        </w:tc>
        <w:tc>
          <w:tcPr>
            <w:tcW w:w="2137" w:type="dxa"/>
            <w:vAlign w:val="center"/>
          </w:tcPr>
          <w:p>
            <w:pPr>
              <w:pStyle w:val="24"/>
              <w:adjustRightInd/>
              <w:spacing w:line="360" w:lineRule="auto"/>
              <w:jc w:val="center"/>
              <w:rPr>
                <w:rFonts w:hint="default" w:eastAsia="宋体"/>
                <w:color w:val="auto"/>
                <w:lang w:val="en-US" w:eastAsia="zh-CN"/>
              </w:rPr>
            </w:pPr>
            <w:r>
              <w:rPr>
                <w:rFonts w:hint="eastAsia" w:hAnsi="宋体"/>
                <w:color w:val="auto"/>
                <w:lang w:eastAsia="zh-CN"/>
              </w:rPr>
              <w:t>南阳政采公开-2021-10</w:t>
            </w:r>
            <w:r>
              <w:rPr>
                <w:rFonts w:hint="eastAsia" w:hAnsi="宋体"/>
                <w:color w:val="auto"/>
                <w:lang w:val="en-US" w:eastAsia="zh-CN"/>
              </w:rPr>
              <w:t>7</w:t>
            </w:r>
            <w:bookmarkStart w:id="48" w:name="_GoBack"/>
            <w:bookmarkEnd w:id="48"/>
          </w:p>
        </w:tc>
        <w:tc>
          <w:tcPr>
            <w:tcW w:w="2050" w:type="dxa"/>
            <w:vAlign w:val="center"/>
          </w:tcPr>
          <w:p>
            <w:pPr>
              <w:pStyle w:val="24"/>
              <w:adjustRightInd/>
              <w:spacing w:line="360" w:lineRule="auto"/>
              <w:jc w:val="center"/>
              <w:rPr>
                <w:color w:val="auto"/>
              </w:rPr>
            </w:pPr>
            <w:r>
              <w:rPr>
                <w:rFonts w:hint="eastAsia" w:hAnsi="宋体"/>
                <w:color w:val="auto"/>
              </w:rPr>
              <w:t>南阳市生态环境局大气污染防治精准决策系统建设与技术服务项目</w:t>
            </w:r>
          </w:p>
        </w:tc>
        <w:tc>
          <w:tcPr>
            <w:tcW w:w="1964" w:type="dxa"/>
            <w:vAlign w:val="center"/>
          </w:tcPr>
          <w:p>
            <w:pPr>
              <w:pStyle w:val="24"/>
              <w:adjustRightInd/>
              <w:spacing w:line="360" w:lineRule="auto"/>
              <w:jc w:val="center"/>
              <w:rPr>
                <w:color w:val="auto"/>
              </w:rPr>
            </w:pPr>
            <w:r>
              <w:rPr>
                <w:rFonts w:hint="eastAsia" w:hAnsi="宋体"/>
                <w:color w:val="auto"/>
              </w:rPr>
              <w:t>35000000.00</w:t>
            </w:r>
          </w:p>
        </w:tc>
        <w:tc>
          <w:tcPr>
            <w:tcW w:w="2048" w:type="dxa"/>
            <w:vAlign w:val="center"/>
          </w:tcPr>
          <w:p>
            <w:pPr>
              <w:pStyle w:val="24"/>
              <w:adjustRightInd/>
              <w:spacing w:line="360" w:lineRule="auto"/>
              <w:jc w:val="center"/>
              <w:rPr>
                <w:color w:val="auto"/>
              </w:rPr>
            </w:pPr>
            <w:r>
              <w:rPr>
                <w:rFonts w:hint="eastAsia" w:hAnsi="宋体"/>
                <w:color w:val="auto"/>
              </w:rPr>
              <w:t>35000000.00</w:t>
            </w:r>
          </w:p>
        </w:tc>
      </w:tr>
    </w:tbl>
    <w:p>
      <w:pPr>
        <w:spacing w:line="360" w:lineRule="auto"/>
        <w:ind w:firstLine="480" w:firstLineChars="200"/>
        <w:rPr>
          <w:sz w:val="24"/>
          <w:szCs w:val="24"/>
        </w:rPr>
      </w:pPr>
      <w:r>
        <w:rPr>
          <w:rFonts w:hint="eastAsia"/>
          <w:sz w:val="24"/>
          <w:szCs w:val="24"/>
        </w:rPr>
        <w:t>5、采购需求（包括但不限于标的的名称、数量、简要技术需求或服务要求等）</w:t>
      </w:r>
    </w:p>
    <w:p>
      <w:pPr>
        <w:spacing w:line="360" w:lineRule="auto"/>
        <w:ind w:firstLine="480" w:firstLineChars="200"/>
        <w:rPr>
          <w:sz w:val="24"/>
          <w:szCs w:val="24"/>
        </w:rPr>
      </w:pPr>
      <w:r>
        <w:rPr>
          <w:rFonts w:hint="eastAsia"/>
          <w:sz w:val="24"/>
          <w:szCs w:val="24"/>
        </w:rPr>
        <w:t>5.1、采购内容：聘请专家团队，建立大气环境物联监测网络，建设大气环境分析管理平台（具体要求详见招标文件采购需求）；</w:t>
      </w:r>
    </w:p>
    <w:p>
      <w:pPr>
        <w:spacing w:line="360" w:lineRule="auto"/>
        <w:ind w:firstLine="480" w:firstLineChars="200"/>
        <w:rPr>
          <w:sz w:val="24"/>
          <w:szCs w:val="24"/>
        </w:rPr>
      </w:pPr>
      <w:r>
        <w:rPr>
          <w:rFonts w:hint="eastAsia"/>
          <w:sz w:val="24"/>
          <w:szCs w:val="24"/>
        </w:rPr>
        <w:t>5.2、资金来源：财政资金，已落实。</w:t>
      </w:r>
    </w:p>
    <w:p>
      <w:pPr>
        <w:spacing w:line="360" w:lineRule="auto"/>
        <w:ind w:firstLine="480" w:firstLineChars="200"/>
        <w:rPr>
          <w:rFonts w:hint="eastAsia" w:eastAsia="宋体"/>
          <w:sz w:val="24"/>
          <w:szCs w:val="24"/>
          <w:lang w:val="en-US" w:eastAsia="zh-CN"/>
        </w:rPr>
      </w:pPr>
      <w:r>
        <w:rPr>
          <w:rFonts w:hint="eastAsia"/>
          <w:sz w:val="24"/>
          <w:szCs w:val="24"/>
        </w:rPr>
        <w:t>5.3、服务期限：自合同签订之日起3年</w:t>
      </w:r>
      <w:r>
        <w:rPr>
          <w:rFonts w:hint="eastAsia"/>
          <w:sz w:val="24"/>
          <w:szCs w:val="24"/>
          <w:lang w:eastAsia="zh-CN"/>
        </w:rPr>
        <w:t>。</w:t>
      </w:r>
    </w:p>
    <w:p>
      <w:pPr>
        <w:spacing w:line="360" w:lineRule="auto"/>
        <w:ind w:firstLine="480" w:firstLineChars="200"/>
        <w:rPr>
          <w:sz w:val="24"/>
          <w:szCs w:val="24"/>
        </w:rPr>
      </w:pPr>
      <w:r>
        <w:rPr>
          <w:rFonts w:hint="eastAsia"/>
          <w:sz w:val="24"/>
          <w:szCs w:val="24"/>
        </w:rPr>
        <w:t>5.4、服务地点：南阳市。</w:t>
      </w:r>
    </w:p>
    <w:p>
      <w:pPr>
        <w:spacing w:line="360" w:lineRule="auto"/>
        <w:ind w:firstLine="480" w:firstLineChars="200"/>
        <w:rPr>
          <w:rFonts w:hint="eastAsia" w:eastAsia="宋体"/>
          <w:sz w:val="24"/>
          <w:szCs w:val="24"/>
          <w:lang w:eastAsia="zh-CN"/>
        </w:rPr>
      </w:pPr>
      <w:r>
        <w:rPr>
          <w:rFonts w:hint="eastAsia"/>
          <w:sz w:val="24"/>
          <w:szCs w:val="24"/>
        </w:rPr>
        <w:t>6、合同履行期限：自合同签订之日起3年</w:t>
      </w:r>
      <w:r>
        <w:rPr>
          <w:rFonts w:hint="eastAsia"/>
          <w:sz w:val="24"/>
          <w:szCs w:val="24"/>
          <w:lang w:eastAsia="zh-CN"/>
        </w:rPr>
        <w:t>。</w:t>
      </w:r>
    </w:p>
    <w:p>
      <w:pPr>
        <w:spacing w:line="360" w:lineRule="auto"/>
        <w:ind w:firstLine="480" w:firstLineChars="200"/>
        <w:rPr>
          <w:sz w:val="24"/>
          <w:szCs w:val="24"/>
        </w:rPr>
      </w:pPr>
      <w:r>
        <w:rPr>
          <w:rFonts w:hint="eastAsia"/>
          <w:sz w:val="24"/>
          <w:szCs w:val="24"/>
        </w:rPr>
        <w:t>7、本项目是否接受联合体投标：否</w:t>
      </w:r>
    </w:p>
    <w:p>
      <w:pPr>
        <w:spacing w:line="360" w:lineRule="auto"/>
        <w:ind w:firstLine="480" w:firstLineChars="200"/>
        <w:rPr>
          <w:sz w:val="24"/>
          <w:szCs w:val="24"/>
        </w:rPr>
      </w:pPr>
      <w:r>
        <w:rPr>
          <w:rFonts w:hint="eastAsia"/>
          <w:sz w:val="24"/>
          <w:szCs w:val="24"/>
        </w:rPr>
        <w:t>8、是否接受进口产品：否</w:t>
      </w:r>
    </w:p>
    <w:p>
      <w:pPr>
        <w:spacing w:line="360" w:lineRule="auto"/>
        <w:rPr>
          <w:b/>
          <w:bCs/>
          <w:sz w:val="24"/>
          <w:szCs w:val="24"/>
        </w:rPr>
      </w:pPr>
      <w:r>
        <w:rPr>
          <w:rFonts w:hint="eastAsia"/>
          <w:b/>
          <w:bCs/>
          <w:sz w:val="24"/>
          <w:szCs w:val="24"/>
        </w:rPr>
        <w:t>二、申请人资格要求：</w:t>
      </w:r>
    </w:p>
    <w:p>
      <w:pPr>
        <w:spacing w:line="360" w:lineRule="auto"/>
        <w:ind w:firstLine="480" w:firstLineChars="200"/>
        <w:rPr>
          <w:sz w:val="24"/>
          <w:szCs w:val="24"/>
        </w:rPr>
      </w:pPr>
      <w:r>
        <w:rPr>
          <w:rFonts w:hint="eastAsia"/>
          <w:sz w:val="24"/>
          <w:szCs w:val="24"/>
        </w:rPr>
        <w:t>1、满足《中华人民共和国政府采购法》第二十二条规定；</w:t>
      </w:r>
    </w:p>
    <w:p>
      <w:pPr>
        <w:spacing w:line="360" w:lineRule="auto"/>
        <w:ind w:firstLine="480" w:firstLineChars="200"/>
        <w:rPr>
          <w:sz w:val="24"/>
          <w:szCs w:val="24"/>
        </w:rPr>
      </w:pPr>
      <w:r>
        <w:rPr>
          <w:rFonts w:hint="eastAsia"/>
          <w:sz w:val="24"/>
          <w:szCs w:val="24"/>
        </w:rPr>
        <w:t>2、落实政府采购政策满足的资格要求：</w:t>
      </w:r>
    </w:p>
    <w:p>
      <w:pPr>
        <w:spacing w:line="360" w:lineRule="auto"/>
        <w:ind w:firstLine="480" w:firstLineChars="200"/>
        <w:rPr>
          <w:sz w:val="24"/>
          <w:szCs w:val="24"/>
        </w:rPr>
      </w:pPr>
      <w:r>
        <w:rPr>
          <w:rFonts w:hint="eastAsia"/>
          <w:sz w:val="24"/>
          <w:szCs w:val="24"/>
        </w:rPr>
        <w:t>本项目执行促进中小型企业发展政策（监狱企业、残疾人福利性企业视同小微企业）、强制采购节能产品、优先采购节能环保产品等政府采购政策。</w:t>
      </w:r>
    </w:p>
    <w:p>
      <w:pPr>
        <w:spacing w:line="360" w:lineRule="auto"/>
        <w:ind w:firstLine="480" w:firstLineChars="200"/>
        <w:rPr>
          <w:sz w:val="24"/>
          <w:szCs w:val="24"/>
        </w:rPr>
      </w:pPr>
      <w:r>
        <w:rPr>
          <w:rFonts w:hint="eastAsia"/>
          <w:sz w:val="24"/>
          <w:szCs w:val="24"/>
        </w:rPr>
        <w:t>3、本项目的特定资格要求：</w:t>
      </w:r>
    </w:p>
    <w:p>
      <w:pPr>
        <w:spacing w:line="360" w:lineRule="auto"/>
        <w:ind w:firstLine="480" w:firstLineChars="200"/>
        <w:rPr>
          <w:sz w:val="24"/>
          <w:szCs w:val="24"/>
        </w:rPr>
      </w:pPr>
      <w:r>
        <w:rPr>
          <w:rFonts w:hint="eastAsia"/>
          <w:sz w:val="24"/>
          <w:szCs w:val="24"/>
        </w:rPr>
        <w:t>3.1、投标人须具有独立法人资格，具有有效的营业执照；</w:t>
      </w:r>
    </w:p>
    <w:p>
      <w:pPr>
        <w:pStyle w:val="24"/>
        <w:spacing w:line="360" w:lineRule="auto"/>
        <w:ind w:firstLine="480" w:firstLineChars="200"/>
        <w:rPr>
          <w:color w:val="auto"/>
        </w:rPr>
      </w:pPr>
      <w:r>
        <w:rPr>
          <w:rFonts w:hint="eastAsia" w:hAnsi="宋体"/>
          <w:color w:val="auto"/>
        </w:rPr>
        <w:t>3.2、</w:t>
      </w:r>
      <w:r>
        <w:rPr>
          <w:rFonts w:hint="eastAsia"/>
          <w:color w:val="auto"/>
        </w:rPr>
        <w:t>提供拟派项目负责人、委托代理人为本单位正式员工，须提供公告发布之日前近连续3个月在本单位社保缴纳证明；</w:t>
      </w:r>
    </w:p>
    <w:p>
      <w:pPr>
        <w:pStyle w:val="24"/>
        <w:spacing w:line="360" w:lineRule="auto"/>
        <w:ind w:firstLine="480" w:firstLineChars="200"/>
        <w:rPr>
          <w:color w:val="auto"/>
        </w:rPr>
      </w:pPr>
      <w:r>
        <w:rPr>
          <w:rFonts w:hint="eastAsia"/>
          <w:color w:val="auto"/>
        </w:rPr>
        <w:t>3.3、投标人具有良好的商业信誉和健全的财务会计制度（须提供2020年度财务审计报告，公司成立时间不足一年的自成立年份开始提供）；</w:t>
      </w:r>
    </w:p>
    <w:p>
      <w:pPr>
        <w:pStyle w:val="24"/>
        <w:spacing w:line="360" w:lineRule="auto"/>
        <w:ind w:firstLine="480" w:firstLineChars="200"/>
        <w:rPr>
          <w:color w:val="auto"/>
        </w:rPr>
      </w:pPr>
      <w:r>
        <w:rPr>
          <w:rFonts w:hint="eastAsia"/>
          <w:color w:val="auto"/>
        </w:rPr>
        <w:t>3.4、投标人具</w:t>
      </w:r>
      <w:r>
        <w:rPr>
          <w:color w:val="auto"/>
        </w:rPr>
        <w:t>有依法缴纳税收和社会保障资金的良好记录（提供</w:t>
      </w:r>
      <w:r>
        <w:rPr>
          <w:rFonts w:hint="eastAsia"/>
          <w:color w:val="auto"/>
        </w:rPr>
        <w:t>公告发布之日前近连续3个月</w:t>
      </w:r>
      <w:r>
        <w:rPr>
          <w:color w:val="auto"/>
        </w:rPr>
        <w:t>依法缴纳税收和社会保障资金的证明复印件或扫描件（依法免税或不需要缴纳社会保障资金的单位，应提供相应文件证明其依法免税或不需要缴纳社会保障金，新成立企业从成立之日起计算））；</w:t>
      </w:r>
    </w:p>
    <w:p>
      <w:pPr>
        <w:pStyle w:val="24"/>
        <w:spacing w:line="360" w:lineRule="auto"/>
        <w:ind w:firstLine="480" w:firstLineChars="200"/>
        <w:rPr>
          <w:color w:val="auto"/>
        </w:rPr>
      </w:pPr>
      <w:r>
        <w:rPr>
          <w:rFonts w:hint="eastAsia"/>
          <w:color w:val="auto"/>
        </w:rPr>
        <w:t>3.5、</w:t>
      </w:r>
      <w:r>
        <w:rPr>
          <w:color w:val="auto"/>
        </w:rPr>
        <w:t>投标人具有履行合同所必需的设备和专业技术能力（须提供承诺书）；</w:t>
      </w:r>
    </w:p>
    <w:p>
      <w:pPr>
        <w:pStyle w:val="24"/>
        <w:spacing w:line="360" w:lineRule="auto"/>
        <w:ind w:firstLine="480" w:firstLineChars="200"/>
        <w:rPr>
          <w:color w:val="auto"/>
        </w:rPr>
      </w:pPr>
      <w:r>
        <w:rPr>
          <w:rFonts w:hint="eastAsia"/>
          <w:color w:val="auto"/>
        </w:rPr>
        <w:t>3.6、</w:t>
      </w:r>
      <w:r>
        <w:rPr>
          <w:color w:val="auto"/>
        </w:rPr>
        <w:t>投标人参加政府采购活动前三年内，在经营活动中没有重大违法记录（须提供参加政府采购活动前三年内，在经营活动中没有重大违法记录的书面声明）；</w:t>
      </w:r>
    </w:p>
    <w:p>
      <w:pPr>
        <w:spacing w:line="360" w:lineRule="auto"/>
        <w:ind w:firstLine="480" w:firstLineChars="200"/>
        <w:rPr>
          <w:sz w:val="24"/>
          <w:szCs w:val="24"/>
        </w:rPr>
      </w:pPr>
      <w:r>
        <w:rPr>
          <w:rFonts w:hint="eastAsia"/>
          <w:sz w:val="24"/>
          <w:szCs w:val="24"/>
        </w:rPr>
        <w:t>3.</w:t>
      </w:r>
      <w:r>
        <w:rPr>
          <w:rFonts w:hint="eastAsia"/>
          <w:sz w:val="24"/>
          <w:szCs w:val="24"/>
          <w:lang w:val="en-US"/>
        </w:rPr>
        <w:t>7</w:t>
      </w:r>
      <w:r>
        <w:rPr>
          <w:rFonts w:hint="eastAsia"/>
          <w:sz w:val="24"/>
          <w:szCs w:val="24"/>
        </w:rPr>
        <w:t>、投标人需提供无行贿犯罪记录承诺函（承诺对象包括：投标企业、法定代表人），并对其真实性负责，若承诺不实，造成的后果由投标人自行负责（格式自拟）。</w:t>
      </w:r>
    </w:p>
    <w:p>
      <w:pPr>
        <w:pStyle w:val="24"/>
        <w:spacing w:line="360" w:lineRule="auto"/>
        <w:ind w:firstLine="480" w:firstLineChars="200"/>
        <w:rPr>
          <w:rFonts w:hAnsi="宋体"/>
          <w:color w:val="auto"/>
        </w:rPr>
      </w:pPr>
      <w:r>
        <w:rPr>
          <w:rFonts w:hint="eastAsia" w:hAnsi="宋体"/>
          <w:color w:val="auto"/>
        </w:rPr>
        <w:t>3.8、按照《财政部关于在政府采购活动中查询及使用信用记录有关问题的通知》（财库〔2016〕125 号）的要求，对列入失信被执行人、重大税收违法案件当事人名单、政府采购严重违法失信行为记录名单的供应商，拒绝参与本项目招标。依据《关于在公共资源交易活动中实施信用监管的通知》（宛公管办[2020]22号）文，供应商需提供规范的信用报告，信用报告应通过“信用中国”网站（www.creditchina.gov.cn）下载，信用报告的生成日期为本项目递交投标文件截止时间前10日内。</w:t>
      </w:r>
    </w:p>
    <w:p>
      <w:pPr>
        <w:pStyle w:val="24"/>
        <w:spacing w:line="360" w:lineRule="auto"/>
        <w:ind w:firstLine="480" w:firstLineChars="200"/>
        <w:rPr>
          <w:rFonts w:hAnsi="宋体"/>
          <w:color w:val="auto"/>
        </w:rPr>
      </w:pPr>
      <w:r>
        <w:rPr>
          <w:rFonts w:hint="eastAsia" w:hAnsi="宋体"/>
          <w:color w:val="auto"/>
        </w:rPr>
        <w:t>3.9、本项目不接受联合体投标，不允许转包和分包。</w:t>
      </w:r>
      <w:r>
        <w:rPr>
          <w:rFonts w:hint="eastAsia" w:hAnsi="宋体"/>
          <w:color w:val="auto"/>
        </w:rPr>
        <w:br w:type="textWrapping"/>
      </w:r>
      <w:r>
        <w:rPr>
          <w:rFonts w:hint="eastAsia" w:hAnsi="宋体"/>
          <w:color w:val="auto"/>
        </w:rPr>
        <w:t>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供应商承担责任。</w:t>
      </w:r>
    </w:p>
    <w:p>
      <w:pPr>
        <w:spacing w:line="360" w:lineRule="auto"/>
        <w:ind w:firstLine="482" w:firstLineChars="200"/>
        <w:rPr>
          <w:b/>
          <w:bCs/>
          <w:sz w:val="24"/>
          <w:szCs w:val="24"/>
        </w:rPr>
      </w:pPr>
      <w:r>
        <w:rPr>
          <w:rFonts w:hint="eastAsia"/>
          <w:b/>
          <w:bCs/>
          <w:sz w:val="24"/>
          <w:szCs w:val="24"/>
        </w:rPr>
        <w:t>三、获取招标文件</w:t>
      </w:r>
    </w:p>
    <w:p>
      <w:pPr>
        <w:spacing w:line="360" w:lineRule="auto"/>
        <w:ind w:firstLine="480" w:firstLineChars="200"/>
        <w:rPr>
          <w:sz w:val="24"/>
          <w:szCs w:val="24"/>
        </w:rPr>
      </w:pPr>
      <w:r>
        <w:rPr>
          <w:rFonts w:hint="eastAsia"/>
          <w:sz w:val="24"/>
          <w:szCs w:val="24"/>
        </w:rPr>
        <w:t>1、时间：2021年</w:t>
      </w:r>
      <w:r>
        <w:rPr>
          <w:rFonts w:hint="eastAsia"/>
          <w:sz w:val="24"/>
          <w:szCs w:val="24"/>
          <w:lang w:val="en-US" w:eastAsia="zh-CN"/>
        </w:rPr>
        <w:t>10</w:t>
      </w:r>
      <w:r>
        <w:rPr>
          <w:rFonts w:hint="eastAsia"/>
          <w:sz w:val="24"/>
          <w:szCs w:val="24"/>
        </w:rPr>
        <w:t>月</w:t>
      </w:r>
      <w:r>
        <w:rPr>
          <w:rFonts w:hint="eastAsia"/>
          <w:sz w:val="24"/>
          <w:szCs w:val="24"/>
          <w:lang w:val="en-US" w:eastAsia="zh-CN"/>
        </w:rPr>
        <w:t>22</w:t>
      </w:r>
      <w:r>
        <w:rPr>
          <w:rFonts w:hint="eastAsia"/>
          <w:sz w:val="24"/>
          <w:szCs w:val="24"/>
        </w:rPr>
        <w:t>日至2021年</w:t>
      </w:r>
      <w:r>
        <w:rPr>
          <w:rFonts w:hint="eastAsia"/>
          <w:sz w:val="24"/>
          <w:szCs w:val="24"/>
          <w:lang w:val="en-US" w:eastAsia="zh-CN"/>
        </w:rPr>
        <w:t>10</w:t>
      </w:r>
      <w:r>
        <w:rPr>
          <w:rFonts w:hint="eastAsia"/>
          <w:sz w:val="24"/>
          <w:szCs w:val="24"/>
        </w:rPr>
        <w:t>月</w:t>
      </w:r>
      <w:r>
        <w:rPr>
          <w:rFonts w:hint="eastAsia"/>
          <w:sz w:val="24"/>
          <w:szCs w:val="24"/>
          <w:lang w:val="en-US" w:eastAsia="zh-CN"/>
        </w:rPr>
        <w:t>28</w:t>
      </w:r>
      <w:r>
        <w:rPr>
          <w:rFonts w:hint="eastAsia"/>
          <w:sz w:val="24"/>
          <w:szCs w:val="24"/>
        </w:rPr>
        <w:t>日，每天上午08:30至12:00，下午12:00至 17:30（北京时间，法定节假日除外。）</w:t>
      </w:r>
    </w:p>
    <w:p>
      <w:pPr>
        <w:spacing w:line="360" w:lineRule="auto"/>
        <w:ind w:firstLine="480" w:firstLineChars="200"/>
        <w:rPr>
          <w:sz w:val="24"/>
          <w:szCs w:val="24"/>
        </w:rPr>
      </w:pPr>
      <w:r>
        <w:rPr>
          <w:rFonts w:hint="eastAsia"/>
          <w:sz w:val="24"/>
          <w:szCs w:val="24"/>
        </w:rPr>
        <w:t>2、地点：南阳市公共资源交易网（www.nyggzyjy.cn）</w:t>
      </w:r>
    </w:p>
    <w:p>
      <w:pPr>
        <w:spacing w:line="360" w:lineRule="auto"/>
        <w:ind w:firstLine="480" w:firstLineChars="200"/>
        <w:rPr>
          <w:sz w:val="24"/>
          <w:szCs w:val="24"/>
        </w:rPr>
      </w:pPr>
      <w:r>
        <w:rPr>
          <w:rFonts w:hint="eastAsia"/>
          <w:sz w:val="24"/>
          <w:szCs w:val="24"/>
        </w:rPr>
        <w:t>3、方式：</w:t>
      </w:r>
      <w:r>
        <w:rPr>
          <w:rFonts w:hint="eastAsia"/>
          <w:sz w:val="24"/>
          <w:szCs w:val="24"/>
          <w:lang w:eastAsia="zh-CN"/>
        </w:rPr>
        <w:t>登录</w:t>
      </w:r>
      <w:r>
        <w:rPr>
          <w:rFonts w:hint="eastAsia"/>
          <w:sz w:val="24"/>
          <w:szCs w:val="24"/>
        </w:rPr>
        <w:t>“南阳市公共资源交易网（www.nyggzyjy.cn）”网站，注册后凭办理的企业身份认证锁（CA 数字证书）</w:t>
      </w:r>
      <w:r>
        <w:rPr>
          <w:rFonts w:hint="eastAsia"/>
          <w:sz w:val="24"/>
          <w:szCs w:val="24"/>
          <w:lang w:eastAsia="zh-CN"/>
        </w:rPr>
        <w:t>登录</w:t>
      </w:r>
      <w:r>
        <w:rPr>
          <w:rFonts w:hint="eastAsia"/>
          <w:sz w:val="24"/>
          <w:szCs w:val="24"/>
        </w:rPr>
        <w:t>会员系统按网上提示下载招标文件(*.nyzf 格式) 及资料（操作程序详见南阳市公共资源交易中心网站下载专区）。</w:t>
      </w:r>
    </w:p>
    <w:p>
      <w:pPr>
        <w:spacing w:line="360" w:lineRule="auto"/>
        <w:ind w:firstLine="480" w:firstLineChars="200"/>
        <w:rPr>
          <w:sz w:val="24"/>
          <w:szCs w:val="24"/>
        </w:rPr>
      </w:pPr>
      <w:r>
        <w:rPr>
          <w:rFonts w:hint="eastAsia"/>
          <w:sz w:val="24"/>
          <w:szCs w:val="24"/>
        </w:rPr>
        <w:t>4、售价：0 元</w:t>
      </w:r>
    </w:p>
    <w:p>
      <w:pPr>
        <w:spacing w:line="360" w:lineRule="auto"/>
        <w:ind w:firstLine="482" w:firstLineChars="200"/>
        <w:rPr>
          <w:b/>
          <w:bCs/>
          <w:sz w:val="24"/>
          <w:szCs w:val="24"/>
        </w:rPr>
      </w:pPr>
      <w:r>
        <w:rPr>
          <w:rFonts w:hint="eastAsia"/>
          <w:b/>
          <w:bCs/>
          <w:sz w:val="24"/>
          <w:szCs w:val="24"/>
        </w:rPr>
        <w:t>四、投标截止时间及地点</w:t>
      </w:r>
    </w:p>
    <w:p>
      <w:pPr>
        <w:spacing w:line="360" w:lineRule="auto"/>
        <w:ind w:firstLine="480" w:firstLineChars="200"/>
        <w:rPr>
          <w:sz w:val="24"/>
          <w:szCs w:val="24"/>
        </w:rPr>
      </w:pPr>
      <w:r>
        <w:rPr>
          <w:rFonts w:hint="eastAsia"/>
          <w:sz w:val="24"/>
          <w:szCs w:val="24"/>
        </w:rPr>
        <w:t>1、时间：2021年</w:t>
      </w:r>
      <w:r>
        <w:rPr>
          <w:rFonts w:hint="eastAsia"/>
          <w:sz w:val="24"/>
          <w:szCs w:val="24"/>
          <w:lang w:val="en-US" w:eastAsia="zh-CN"/>
        </w:rPr>
        <w:t>11</w:t>
      </w:r>
      <w:r>
        <w:rPr>
          <w:rFonts w:hint="eastAsia"/>
          <w:sz w:val="24"/>
          <w:szCs w:val="24"/>
        </w:rPr>
        <w:t>月</w:t>
      </w:r>
      <w:r>
        <w:rPr>
          <w:rFonts w:hint="eastAsia"/>
          <w:sz w:val="24"/>
          <w:szCs w:val="24"/>
          <w:lang w:val="en-US" w:eastAsia="zh-CN"/>
        </w:rPr>
        <w:t>11</w:t>
      </w:r>
      <w:r>
        <w:rPr>
          <w:rFonts w:hint="eastAsia"/>
          <w:sz w:val="24"/>
          <w:szCs w:val="24"/>
        </w:rPr>
        <w:t>日</w:t>
      </w:r>
      <w:r>
        <w:rPr>
          <w:rFonts w:hint="eastAsia"/>
          <w:sz w:val="24"/>
          <w:szCs w:val="24"/>
          <w:lang w:val="en-US" w:eastAsia="zh-CN"/>
        </w:rPr>
        <w:t>09</w:t>
      </w:r>
      <w:r>
        <w:rPr>
          <w:rFonts w:hint="eastAsia"/>
          <w:sz w:val="24"/>
          <w:szCs w:val="24"/>
        </w:rPr>
        <w:t>时</w:t>
      </w:r>
      <w:r>
        <w:rPr>
          <w:rFonts w:hint="eastAsia"/>
          <w:sz w:val="24"/>
          <w:szCs w:val="24"/>
          <w:lang w:val="en-US" w:eastAsia="zh-CN"/>
        </w:rPr>
        <w:t>00</w:t>
      </w:r>
      <w:r>
        <w:rPr>
          <w:rFonts w:hint="eastAsia"/>
          <w:sz w:val="24"/>
          <w:szCs w:val="24"/>
        </w:rPr>
        <w:t>分（北京时间）</w:t>
      </w:r>
    </w:p>
    <w:p>
      <w:pPr>
        <w:spacing w:line="360" w:lineRule="auto"/>
        <w:ind w:firstLine="480" w:firstLineChars="200"/>
        <w:rPr>
          <w:sz w:val="24"/>
          <w:szCs w:val="24"/>
        </w:rPr>
      </w:pPr>
      <w:r>
        <w:rPr>
          <w:rFonts w:hint="eastAsia"/>
          <w:sz w:val="24"/>
          <w:szCs w:val="24"/>
        </w:rPr>
        <w:t>2、地点：本项目使用不见面开标，投标人无需前往现场来参与投标。具体操作流程详见南阳市公共资源交易中心下载专区栏发布的南阳不见面开标-操作手册（投标人） http://www.nyggzyjy.cn/TPFront/xzzq/。</w:t>
      </w:r>
    </w:p>
    <w:p>
      <w:pPr>
        <w:spacing w:line="360" w:lineRule="auto"/>
        <w:ind w:firstLine="482" w:firstLineChars="200"/>
        <w:rPr>
          <w:b/>
          <w:bCs/>
          <w:sz w:val="24"/>
          <w:szCs w:val="24"/>
        </w:rPr>
      </w:pPr>
      <w:r>
        <w:rPr>
          <w:rFonts w:hint="eastAsia"/>
          <w:b/>
          <w:bCs/>
          <w:sz w:val="24"/>
          <w:szCs w:val="24"/>
        </w:rPr>
        <w:t>五、开标时间及地点</w:t>
      </w:r>
    </w:p>
    <w:p>
      <w:pPr>
        <w:kinsoku w:val="0"/>
        <w:spacing w:line="360" w:lineRule="auto"/>
        <w:ind w:firstLine="480" w:firstLineChars="200"/>
        <w:rPr>
          <w:sz w:val="24"/>
          <w:szCs w:val="24"/>
        </w:rPr>
      </w:pPr>
      <w:r>
        <w:rPr>
          <w:rFonts w:hint="eastAsia"/>
          <w:sz w:val="24"/>
          <w:szCs w:val="24"/>
        </w:rPr>
        <w:t>1、时间：</w:t>
      </w:r>
      <w:r>
        <w:rPr>
          <w:rFonts w:hint="eastAsia"/>
          <w:sz w:val="24"/>
          <w:szCs w:val="24"/>
          <w:lang w:val="en-US"/>
        </w:rPr>
        <w:t>2021</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11</w:t>
      </w:r>
      <w:r>
        <w:rPr>
          <w:rFonts w:hint="eastAsia"/>
          <w:sz w:val="24"/>
          <w:szCs w:val="24"/>
        </w:rPr>
        <w:t>日</w:t>
      </w:r>
      <w:r>
        <w:rPr>
          <w:rFonts w:hint="eastAsia"/>
          <w:sz w:val="24"/>
          <w:szCs w:val="24"/>
          <w:lang w:val="en-US"/>
        </w:rPr>
        <w:t>09</w:t>
      </w:r>
      <w:r>
        <w:rPr>
          <w:rFonts w:hint="eastAsia"/>
          <w:sz w:val="24"/>
          <w:szCs w:val="24"/>
        </w:rPr>
        <w:t>时</w:t>
      </w:r>
      <w:r>
        <w:rPr>
          <w:rFonts w:hint="eastAsia"/>
          <w:sz w:val="24"/>
          <w:szCs w:val="24"/>
          <w:lang w:val="en-US"/>
        </w:rPr>
        <w:t>00</w:t>
      </w:r>
      <w:r>
        <w:rPr>
          <w:rFonts w:hint="eastAsia"/>
          <w:sz w:val="24"/>
          <w:szCs w:val="24"/>
        </w:rPr>
        <w:t>分（北京时间）</w:t>
      </w:r>
    </w:p>
    <w:p>
      <w:pPr>
        <w:kinsoku w:val="0"/>
        <w:wordWrap w:val="0"/>
        <w:spacing w:line="360" w:lineRule="auto"/>
        <w:ind w:firstLine="480" w:firstLineChars="200"/>
        <w:rPr>
          <w:sz w:val="24"/>
          <w:szCs w:val="24"/>
        </w:rPr>
      </w:pPr>
      <w:r>
        <w:rPr>
          <w:rFonts w:hint="eastAsia"/>
          <w:sz w:val="24"/>
          <w:szCs w:val="24"/>
        </w:rPr>
        <w:t>2、地点：本项目采用“远程不见面”开标方式，不见面开标大厅地址http://ggzyjy.nanyang.gov.cn:8090/BidOpening，投标人无需到南阳市公共资源交易中心现场参加开标会议，无需到达现场提交原件资料。投标人应当在投标截止时间前，登录远程开标大厅，在线准时参加开标活动并进行文件解密、答疑澄清等。各投标人应在规定时间内对本单位的投标文件现场解密，因加密电子投标文件未能成功上传或误传而导致的解密失败，投标将被拒绝。</w:t>
      </w:r>
    </w:p>
    <w:p>
      <w:pPr>
        <w:spacing w:line="360" w:lineRule="auto"/>
        <w:ind w:firstLine="482" w:firstLineChars="200"/>
        <w:rPr>
          <w:b/>
          <w:bCs/>
          <w:sz w:val="24"/>
          <w:szCs w:val="24"/>
        </w:rPr>
      </w:pPr>
      <w:r>
        <w:rPr>
          <w:rFonts w:hint="eastAsia"/>
          <w:b/>
          <w:bCs/>
          <w:sz w:val="24"/>
          <w:szCs w:val="24"/>
        </w:rPr>
        <w:t>六、发布公告的媒介及招标公告期限</w:t>
      </w:r>
    </w:p>
    <w:p>
      <w:pPr>
        <w:spacing w:line="360" w:lineRule="auto"/>
        <w:ind w:firstLine="480" w:firstLineChars="200"/>
        <w:rPr>
          <w:sz w:val="24"/>
          <w:szCs w:val="24"/>
        </w:rPr>
      </w:pPr>
      <w:r>
        <w:rPr>
          <w:rFonts w:hint="eastAsia"/>
          <w:sz w:val="24"/>
          <w:szCs w:val="24"/>
        </w:rPr>
        <w:t>本次招标公告在《河南省政府采购网》《河南省电子招标投标公共服务平台》《南阳市公共资源交易中心》上发布，招标公告期限为五个工作日 。</w:t>
      </w:r>
    </w:p>
    <w:p>
      <w:pPr>
        <w:spacing w:line="360" w:lineRule="auto"/>
        <w:ind w:firstLine="482" w:firstLineChars="200"/>
        <w:rPr>
          <w:b/>
          <w:bCs/>
          <w:sz w:val="24"/>
          <w:szCs w:val="24"/>
        </w:rPr>
      </w:pPr>
      <w:r>
        <w:rPr>
          <w:rFonts w:hint="eastAsia"/>
          <w:b/>
          <w:bCs/>
          <w:sz w:val="24"/>
          <w:szCs w:val="24"/>
        </w:rPr>
        <w:t>七、其他补充事宜</w:t>
      </w:r>
    </w:p>
    <w:p>
      <w:pPr>
        <w:spacing w:line="360" w:lineRule="auto"/>
        <w:ind w:firstLine="480" w:firstLineChars="200"/>
        <w:rPr>
          <w:sz w:val="24"/>
          <w:szCs w:val="24"/>
        </w:rPr>
      </w:pPr>
      <w:r>
        <w:rPr>
          <w:rFonts w:hint="eastAsia"/>
          <w:sz w:val="24"/>
          <w:szCs w:val="24"/>
        </w:rPr>
        <w:t>1、本项目实行资格后审，审查内容以投标截止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pPr>
        <w:spacing w:line="360" w:lineRule="auto"/>
        <w:ind w:firstLine="480" w:firstLineChars="200"/>
        <w:rPr>
          <w:sz w:val="24"/>
          <w:szCs w:val="24"/>
        </w:rPr>
      </w:pPr>
      <w:r>
        <w:rPr>
          <w:rFonts w:hint="eastAsia"/>
          <w:sz w:val="24"/>
          <w:szCs w:val="24"/>
        </w:rPr>
        <w:t>2、不见面服务的具体事宜请与南阳市公共资源交易中心进行咨询（地址：南阳市范蠡东路市民服务中心3号楼4楼5楼）。企业诚信库注册咨询电话：0377-61176186、电子交易系统技术支持电话</w:t>
      </w:r>
      <w:r>
        <w:rPr>
          <w:rFonts w:hint="eastAsia"/>
          <w:sz w:val="24"/>
          <w:szCs w:val="24"/>
          <w:lang w:val="en-US"/>
        </w:rPr>
        <w:t>：</w:t>
      </w:r>
      <w:r>
        <w:rPr>
          <w:rFonts w:hint="eastAsia"/>
          <w:sz w:val="24"/>
          <w:szCs w:val="24"/>
        </w:rPr>
        <w:t>0377-61176137、 CA数字证书技术支持电话：0377-61176139。</w:t>
      </w:r>
    </w:p>
    <w:p>
      <w:pPr>
        <w:spacing w:line="360" w:lineRule="auto"/>
        <w:ind w:firstLine="482" w:firstLineChars="200"/>
        <w:rPr>
          <w:sz w:val="24"/>
          <w:szCs w:val="24"/>
        </w:rPr>
      </w:pPr>
      <w:r>
        <w:rPr>
          <w:rFonts w:hint="eastAsia"/>
          <w:b/>
          <w:bCs/>
          <w:sz w:val="24"/>
          <w:szCs w:val="24"/>
        </w:rPr>
        <w:t>八、凡对本次招标提出询问，请按照以下方式联系</w:t>
      </w:r>
    </w:p>
    <w:p>
      <w:pPr>
        <w:spacing w:line="360" w:lineRule="auto"/>
        <w:ind w:firstLine="480" w:firstLineChars="200"/>
        <w:rPr>
          <w:sz w:val="24"/>
          <w:szCs w:val="24"/>
        </w:rPr>
      </w:pPr>
      <w:r>
        <w:rPr>
          <w:rFonts w:hint="eastAsia"/>
          <w:sz w:val="24"/>
          <w:szCs w:val="24"/>
        </w:rPr>
        <w:t>1、采购人信息</w:t>
      </w:r>
    </w:p>
    <w:p>
      <w:pPr>
        <w:spacing w:line="360" w:lineRule="auto"/>
        <w:ind w:firstLine="480" w:firstLineChars="200"/>
        <w:rPr>
          <w:sz w:val="24"/>
          <w:szCs w:val="24"/>
        </w:rPr>
      </w:pPr>
      <w:r>
        <w:rPr>
          <w:rFonts w:hint="eastAsia"/>
          <w:sz w:val="24"/>
          <w:szCs w:val="24"/>
        </w:rPr>
        <w:t>名称：南阳市生态环境局</w:t>
      </w:r>
    </w:p>
    <w:p>
      <w:pPr>
        <w:spacing w:line="360" w:lineRule="auto"/>
        <w:ind w:firstLine="480" w:firstLineChars="200"/>
        <w:rPr>
          <w:sz w:val="24"/>
          <w:szCs w:val="24"/>
        </w:rPr>
      </w:pPr>
      <w:r>
        <w:rPr>
          <w:rFonts w:hint="eastAsia"/>
          <w:sz w:val="24"/>
          <w:szCs w:val="24"/>
        </w:rPr>
        <w:t>地址：南阳市宛城区张衡东路与南都路交叉口西北角</w:t>
      </w:r>
    </w:p>
    <w:p>
      <w:pPr>
        <w:spacing w:line="360" w:lineRule="auto"/>
        <w:ind w:firstLine="480" w:firstLineChars="200"/>
        <w:rPr>
          <w:sz w:val="24"/>
          <w:szCs w:val="24"/>
        </w:rPr>
      </w:pPr>
      <w:r>
        <w:rPr>
          <w:rFonts w:hint="eastAsia"/>
          <w:sz w:val="24"/>
          <w:szCs w:val="24"/>
        </w:rPr>
        <w:t>联系人：叶启森</w:t>
      </w:r>
    </w:p>
    <w:p>
      <w:pPr>
        <w:spacing w:line="360" w:lineRule="auto"/>
        <w:ind w:firstLine="480" w:firstLineChars="200"/>
        <w:rPr>
          <w:sz w:val="24"/>
          <w:szCs w:val="24"/>
        </w:rPr>
      </w:pPr>
      <w:r>
        <w:rPr>
          <w:rFonts w:hint="eastAsia"/>
          <w:sz w:val="24"/>
          <w:szCs w:val="24"/>
        </w:rPr>
        <w:t>联系方式：18637781117</w:t>
      </w:r>
    </w:p>
    <w:p>
      <w:pPr>
        <w:spacing w:line="360" w:lineRule="auto"/>
        <w:ind w:firstLine="480" w:firstLineChars="200"/>
        <w:rPr>
          <w:sz w:val="24"/>
          <w:szCs w:val="24"/>
        </w:rPr>
      </w:pPr>
      <w:r>
        <w:rPr>
          <w:rFonts w:hint="eastAsia"/>
          <w:sz w:val="24"/>
          <w:szCs w:val="24"/>
          <w:lang w:val="en-US"/>
        </w:rPr>
        <w:t>2、</w:t>
      </w:r>
      <w:r>
        <w:rPr>
          <w:rFonts w:hint="eastAsia"/>
          <w:sz w:val="24"/>
          <w:szCs w:val="24"/>
        </w:rPr>
        <w:t>采购代理机构信息（如有）</w:t>
      </w:r>
    </w:p>
    <w:p>
      <w:pPr>
        <w:spacing w:line="360" w:lineRule="auto"/>
        <w:ind w:firstLine="480" w:firstLineChars="200"/>
        <w:rPr>
          <w:sz w:val="24"/>
          <w:szCs w:val="24"/>
        </w:rPr>
      </w:pPr>
      <w:r>
        <w:rPr>
          <w:rFonts w:hint="eastAsia"/>
          <w:sz w:val="24"/>
          <w:szCs w:val="24"/>
        </w:rPr>
        <w:t>名称：河南省伟信招标管理咨询有限公司</w:t>
      </w:r>
    </w:p>
    <w:p>
      <w:pPr>
        <w:spacing w:line="360" w:lineRule="auto"/>
        <w:ind w:firstLine="480" w:firstLineChars="200"/>
        <w:rPr>
          <w:sz w:val="24"/>
          <w:szCs w:val="24"/>
          <w:lang w:val="en-US"/>
        </w:rPr>
      </w:pPr>
      <w:r>
        <w:rPr>
          <w:rFonts w:hint="eastAsia"/>
          <w:sz w:val="24"/>
          <w:szCs w:val="24"/>
        </w:rPr>
        <w:t>地址：河南省南阳市人民路与张衡路交叉口卓越凯悦国际</w:t>
      </w:r>
      <w:r>
        <w:rPr>
          <w:rFonts w:hint="eastAsia"/>
          <w:sz w:val="24"/>
          <w:szCs w:val="24"/>
          <w:lang w:val="en-US"/>
        </w:rPr>
        <w:t>20楼2008室</w:t>
      </w:r>
    </w:p>
    <w:p>
      <w:pPr>
        <w:spacing w:line="360" w:lineRule="auto"/>
        <w:ind w:firstLine="480" w:firstLineChars="200"/>
        <w:rPr>
          <w:sz w:val="24"/>
          <w:szCs w:val="24"/>
        </w:rPr>
      </w:pPr>
      <w:r>
        <w:rPr>
          <w:rFonts w:hint="eastAsia"/>
          <w:sz w:val="24"/>
          <w:szCs w:val="24"/>
        </w:rPr>
        <w:t>联系人：王楠</w:t>
      </w:r>
    </w:p>
    <w:p>
      <w:pPr>
        <w:spacing w:line="360" w:lineRule="auto"/>
        <w:ind w:firstLine="480" w:firstLineChars="200"/>
        <w:rPr>
          <w:sz w:val="24"/>
          <w:szCs w:val="24"/>
        </w:rPr>
      </w:pPr>
      <w:r>
        <w:rPr>
          <w:rFonts w:hint="eastAsia"/>
          <w:sz w:val="24"/>
          <w:szCs w:val="24"/>
        </w:rPr>
        <w:t>联系方式：</w:t>
      </w:r>
      <w:r>
        <w:rPr>
          <w:rFonts w:hint="eastAsia"/>
          <w:sz w:val="24"/>
          <w:szCs w:val="24"/>
          <w:lang w:val="en-US"/>
        </w:rPr>
        <w:t>18039306369</w:t>
      </w:r>
      <w:r>
        <w:rPr>
          <w:rFonts w:hint="eastAsia"/>
          <w:sz w:val="24"/>
          <w:szCs w:val="24"/>
        </w:rPr>
        <w:t xml:space="preserve"> </w:t>
      </w:r>
    </w:p>
    <w:p>
      <w:pPr>
        <w:spacing w:line="360" w:lineRule="auto"/>
        <w:ind w:firstLine="480" w:firstLineChars="200"/>
        <w:rPr>
          <w:sz w:val="24"/>
          <w:szCs w:val="24"/>
        </w:rPr>
      </w:pPr>
      <w:r>
        <w:rPr>
          <w:rFonts w:hint="eastAsia"/>
          <w:sz w:val="24"/>
          <w:szCs w:val="24"/>
        </w:rPr>
        <w:t>3、项目联系方式</w:t>
      </w:r>
    </w:p>
    <w:p>
      <w:pPr>
        <w:spacing w:line="360" w:lineRule="auto"/>
        <w:ind w:firstLine="480" w:firstLineChars="200"/>
        <w:rPr>
          <w:sz w:val="24"/>
          <w:szCs w:val="24"/>
        </w:rPr>
      </w:pPr>
      <w:r>
        <w:rPr>
          <w:rFonts w:hint="eastAsia"/>
          <w:sz w:val="24"/>
          <w:szCs w:val="24"/>
        </w:rPr>
        <w:t>项目联系人：王楠</w:t>
      </w:r>
    </w:p>
    <w:p>
      <w:pPr>
        <w:spacing w:line="360" w:lineRule="auto"/>
        <w:ind w:firstLine="480" w:firstLineChars="200"/>
        <w:rPr>
          <w:sz w:val="24"/>
          <w:szCs w:val="24"/>
          <w:lang w:val="en-US"/>
        </w:rPr>
      </w:pPr>
      <w:r>
        <w:rPr>
          <w:rFonts w:hint="eastAsia"/>
          <w:sz w:val="24"/>
          <w:szCs w:val="24"/>
        </w:rPr>
        <w:t>联系方式：</w:t>
      </w:r>
      <w:r>
        <w:rPr>
          <w:rFonts w:hint="eastAsia"/>
          <w:sz w:val="24"/>
          <w:szCs w:val="24"/>
          <w:lang w:val="en-US"/>
        </w:rPr>
        <w:t>18039306369</w:t>
      </w:r>
    </w:p>
    <w:p>
      <w:pPr>
        <w:pStyle w:val="24"/>
        <w:spacing w:line="360" w:lineRule="auto"/>
        <w:ind w:firstLine="480" w:firstLineChars="200"/>
        <w:rPr>
          <w:color w:val="auto"/>
        </w:rPr>
      </w:pPr>
    </w:p>
    <w:p>
      <w:pPr>
        <w:pStyle w:val="24"/>
        <w:spacing w:line="360" w:lineRule="auto"/>
        <w:ind w:firstLine="480" w:firstLineChars="200"/>
        <w:rPr>
          <w:color w:val="auto"/>
        </w:rPr>
      </w:pPr>
    </w:p>
    <w:p>
      <w:pPr>
        <w:jc w:val="right"/>
        <w:rPr>
          <w:sz w:val="24"/>
          <w:szCs w:val="24"/>
        </w:rPr>
      </w:pPr>
      <w:r>
        <w:rPr>
          <w:rFonts w:hint="eastAsia"/>
          <w:color w:val="auto"/>
          <w:sz w:val="24"/>
          <w:szCs w:val="24"/>
        </w:rPr>
        <w:t>2021年</w:t>
      </w:r>
      <w:r>
        <w:rPr>
          <w:rFonts w:hint="eastAsia"/>
          <w:color w:val="auto"/>
          <w:sz w:val="24"/>
          <w:szCs w:val="24"/>
          <w:lang w:val="en-US" w:eastAsia="zh-CN"/>
        </w:rPr>
        <w:t>10</w:t>
      </w:r>
      <w:r>
        <w:rPr>
          <w:rFonts w:hint="eastAsia"/>
          <w:color w:val="auto"/>
          <w:sz w:val="24"/>
          <w:szCs w:val="24"/>
        </w:rPr>
        <w:t>月</w:t>
      </w:r>
      <w:r>
        <w:rPr>
          <w:rFonts w:hint="eastAsia"/>
          <w:color w:val="auto"/>
          <w:sz w:val="24"/>
          <w:szCs w:val="24"/>
          <w:lang w:val="en-US" w:eastAsia="zh-CN"/>
        </w:rPr>
        <w:t>21</w:t>
      </w:r>
      <w:r>
        <w:rPr>
          <w:rFonts w:hint="eastAsia"/>
          <w:color w:val="auto"/>
          <w:sz w:val="24"/>
          <w:szCs w:val="24"/>
        </w:rPr>
        <w:t>日</w:t>
      </w:r>
    </w:p>
    <w:p/>
    <w:p>
      <w:r>
        <w:br w:type="page"/>
      </w:r>
    </w:p>
    <w:p>
      <w:pPr>
        <w:pStyle w:val="3"/>
        <w:tabs>
          <w:tab w:val="left" w:pos="1204"/>
        </w:tabs>
        <w:ind w:left="0" w:right="1"/>
        <w:jc w:val="center"/>
      </w:pPr>
      <w:bookmarkStart w:id="1" w:name="_Toc10659"/>
      <w:r>
        <w:t>第二章</w:t>
      </w:r>
      <w:r>
        <w:rPr>
          <w:rFonts w:hint="eastAsia"/>
          <w:lang w:val="en-US"/>
        </w:rPr>
        <w:t xml:space="preserve"> </w:t>
      </w:r>
      <w:r>
        <w:t>投标须知</w:t>
      </w:r>
      <w:bookmarkEnd w:id="1"/>
    </w:p>
    <w:p>
      <w:pPr>
        <w:pStyle w:val="4"/>
        <w:spacing w:before="122" w:after="5"/>
        <w:ind w:right="464"/>
      </w:pPr>
      <w:bookmarkStart w:id="2" w:name="_Toc28185"/>
      <w:r>
        <w:t>投标人须知前附表</w:t>
      </w:r>
      <w:bookmarkEnd w:id="2"/>
    </w:p>
    <w:tbl>
      <w:tblPr>
        <w:tblStyle w:val="21"/>
        <w:tblW w:w="90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5"/>
        <w:gridCol w:w="2010"/>
        <w:gridCol w:w="6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065" w:type="dxa"/>
            <w:vAlign w:val="center"/>
          </w:tcPr>
          <w:p>
            <w:pPr>
              <w:pStyle w:val="27"/>
              <w:spacing w:before="1"/>
              <w:ind w:right="369"/>
              <w:jc w:val="center"/>
              <w:rPr>
                <w:b/>
                <w:sz w:val="24"/>
              </w:rPr>
            </w:pPr>
            <w:r>
              <w:rPr>
                <w:b/>
                <w:sz w:val="24"/>
              </w:rPr>
              <w:t>序号</w:t>
            </w:r>
          </w:p>
        </w:tc>
        <w:tc>
          <w:tcPr>
            <w:tcW w:w="2010" w:type="dxa"/>
            <w:vAlign w:val="center"/>
          </w:tcPr>
          <w:p>
            <w:pPr>
              <w:pStyle w:val="27"/>
              <w:spacing w:before="1"/>
              <w:ind w:right="140"/>
              <w:jc w:val="center"/>
              <w:rPr>
                <w:b/>
                <w:sz w:val="24"/>
              </w:rPr>
            </w:pPr>
            <w:r>
              <w:rPr>
                <w:b/>
                <w:sz w:val="24"/>
              </w:rPr>
              <w:t>名称</w:t>
            </w:r>
          </w:p>
        </w:tc>
        <w:tc>
          <w:tcPr>
            <w:tcW w:w="6011" w:type="dxa"/>
            <w:vAlign w:val="center"/>
          </w:tcPr>
          <w:p>
            <w:pPr>
              <w:pStyle w:val="27"/>
              <w:spacing w:before="1"/>
              <w:ind w:right="2656"/>
              <w:jc w:val="center"/>
              <w:rPr>
                <w:b/>
                <w:sz w:val="24"/>
              </w:rPr>
            </w:pPr>
            <w:r>
              <w:rPr>
                <w:b/>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1065" w:type="dxa"/>
            <w:vAlign w:val="center"/>
          </w:tcPr>
          <w:p>
            <w:pPr>
              <w:pStyle w:val="27"/>
              <w:jc w:val="center"/>
              <w:rPr>
                <w:sz w:val="24"/>
              </w:rPr>
            </w:pPr>
            <w:r>
              <w:rPr>
                <w:sz w:val="24"/>
              </w:rPr>
              <w:t>1</w:t>
            </w:r>
          </w:p>
        </w:tc>
        <w:tc>
          <w:tcPr>
            <w:tcW w:w="2010" w:type="dxa"/>
            <w:vAlign w:val="center"/>
          </w:tcPr>
          <w:p>
            <w:pPr>
              <w:pStyle w:val="27"/>
              <w:jc w:val="center"/>
              <w:rPr>
                <w:sz w:val="24"/>
              </w:rPr>
            </w:pPr>
            <w:r>
              <w:rPr>
                <w:sz w:val="24"/>
              </w:rPr>
              <w:t>采购人</w:t>
            </w:r>
          </w:p>
        </w:tc>
        <w:tc>
          <w:tcPr>
            <w:tcW w:w="6011" w:type="dxa"/>
            <w:vAlign w:val="center"/>
          </w:tcPr>
          <w:p>
            <w:pPr>
              <w:pStyle w:val="27"/>
              <w:spacing w:line="360" w:lineRule="auto"/>
              <w:rPr>
                <w:sz w:val="24"/>
              </w:rPr>
            </w:pPr>
            <w:r>
              <w:rPr>
                <w:rFonts w:hint="eastAsia"/>
                <w:sz w:val="24"/>
              </w:rPr>
              <w:t>名称：南阳市生态环境局</w:t>
            </w:r>
          </w:p>
          <w:p>
            <w:pPr>
              <w:pStyle w:val="27"/>
              <w:spacing w:line="360" w:lineRule="auto"/>
              <w:rPr>
                <w:sz w:val="24"/>
              </w:rPr>
            </w:pPr>
            <w:r>
              <w:rPr>
                <w:rFonts w:hint="eastAsia"/>
                <w:sz w:val="24"/>
              </w:rPr>
              <w:t>地址：南阳市宛城区张衡东路与南都路交叉口西北角</w:t>
            </w:r>
          </w:p>
          <w:p>
            <w:pPr>
              <w:pStyle w:val="27"/>
              <w:spacing w:line="360" w:lineRule="auto"/>
              <w:rPr>
                <w:sz w:val="24"/>
              </w:rPr>
            </w:pPr>
            <w:r>
              <w:rPr>
                <w:rFonts w:hint="eastAsia"/>
                <w:sz w:val="24"/>
              </w:rPr>
              <w:t>联系人：叶启森</w:t>
            </w:r>
          </w:p>
          <w:p>
            <w:pPr>
              <w:pStyle w:val="27"/>
              <w:spacing w:line="360" w:lineRule="auto"/>
              <w:rPr>
                <w:sz w:val="24"/>
              </w:rPr>
            </w:pPr>
            <w:r>
              <w:rPr>
                <w:rFonts w:hint="eastAsia"/>
                <w:sz w:val="24"/>
              </w:rPr>
              <w:t>联系方式：</w:t>
            </w:r>
            <w:r>
              <w:rPr>
                <w:sz w:val="24"/>
              </w:rPr>
              <w:t>18637781117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jc w:val="center"/>
              <w:rPr>
                <w:sz w:val="24"/>
              </w:rPr>
            </w:pPr>
            <w:r>
              <w:rPr>
                <w:sz w:val="24"/>
              </w:rPr>
              <w:t>2</w:t>
            </w:r>
          </w:p>
        </w:tc>
        <w:tc>
          <w:tcPr>
            <w:tcW w:w="2010" w:type="dxa"/>
            <w:vAlign w:val="center"/>
          </w:tcPr>
          <w:p>
            <w:pPr>
              <w:pStyle w:val="27"/>
              <w:jc w:val="center"/>
              <w:rPr>
                <w:sz w:val="24"/>
              </w:rPr>
            </w:pPr>
            <w:r>
              <w:rPr>
                <w:sz w:val="24"/>
              </w:rPr>
              <w:t>代理机构</w:t>
            </w:r>
          </w:p>
        </w:tc>
        <w:tc>
          <w:tcPr>
            <w:tcW w:w="6011" w:type="dxa"/>
            <w:vAlign w:val="center"/>
          </w:tcPr>
          <w:p>
            <w:pPr>
              <w:pStyle w:val="27"/>
              <w:spacing w:line="360" w:lineRule="auto"/>
              <w:rPr>
                <w:sz w:val="24"/>
              </w:rPr>
            </w:pPr>
            <w:r>
              <w:rPr>
                <w:rFonts w:hint="eastAsia"/>
                <w:sz w:val="24"/>
              </w:rPr>
              <w:t>名称：河南省伟信招标管理咨询有限公司</w:t>
            </w:r>
          </w:p>
          <w:p>
            <w:pPr>
              <w:pStyle w:val="27"/>
              <w:spacing w:line="360" w:lineRule="auto"/>
              <w:rPr>
                <w:sz w:val="24"/>
                <w:lang w:val="en-US"/>
              </w:rPr>
            </w:pPr>
            <w:r>
              <w:rPr>
                <w:rFonts w:hint="eastAsia"/>
                <w:sz w:val="24"/>
              </w:rPr>
              <w:t>地址：河南省南阳市人民路与张衡路交叉口卓越凯悦国际</w:t>
            </w:r>
            <w:r>
              <w:rPr>
                <w:rFonts w:hint="eastAsia"/>
                <w:sz w:val="24"/>
                <w:lang w:val="en-US"/>
              </w:rPr>
              <w:t>20楼2008室</w:t>
            </w:r>
          </w:p>
          <w:p>
            <w:pPr>
              <w:pStyle w:val="27"/>
              <w:spacing w:line="360" w:lineRule="auto"/>
              <w:rPr>
                <w:sz w:val="24"/>
              </w:rPr>
            </w:pPr>
            <w:r>
              <w:rPr>
                <w:rFonts w:hint="eastAsia"/>
                <w:sz w:val="24"/>
              </w:rPr>
              <w:t>联系人：王楠</w:t>
            </w:r>
          </w:p>
          <w:p>
            <w:pPr>
              <w:pStyle w:val="27"/>
              <w:spacing w:line="360" w:lineRule="auto"/>
              <w:rPr>
                <w:sz w:val="24"/>
              </w:rPr>
            </w:pPr>
            <w:r>
              <w:rPr>
                <w:rFonts w:hint="eastAsia"/>
                <w:sz w:val="24"/>
              </w:rPr>
              <w:t>联系方式：</w:t>
            </w:r>
            <w:r>
              <w:rPr>
                <w:rFonts w:hint="eastAsia"/>
                <w:sz w:val="24"/>
                <w:lang w:val="en-US"/>
              </w:rPr>
              <w:t>18039306369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jc w:val="center"/>
              <w:rPr>
                <w:sz w:val="24"/>
              </w:rPr>
            </w:pPr>
            <w:r>
              <w:rPr>
                <w:sz w:val="24"/>
              </w:rPr>
              <w:t>3</w:t>
            </w:r>
          </w:p>
        </w:tc>
        <w:tc>
          <w:tcPr>
            <w:tcW w:w="2010" w:type="dxa"/>
            <w:vAlign w:val="center"/>
          </w:tcPr>
          <w:p>
            <w:pPr>
              <w:pStyle w:val="27"/>
              <w:jc w:val="center"/>
              <w:rPr>
                <w:sz w:val="24"/>
              </w:rPr>
            </w:pPr>
            <w:r>
              <w:rPr>
                <w:sz w:val="24"/>
              </w:rPr>
              <w:t>项目名称</w:t>
            </w:r>
          </w:p>
        </w:tc>
        <w:tc>
          <w:tcPr>
            <w:tcW w:w="6011" w:type="dxa"/>
            <w:vAlign w:val="center"/>
          </w:tcPr>
          <w:p>
            <w:pPr>
              <w:pStyle w:val="27"/>
              <w:spacing w:line="360" w:lineRule="auto"/>
              <w:jc w:val="center"/>
              <w:rPr>
                <w:sz w:val="24"/>
              </w:rPr>
            </w:pPr>
            <w:r>
              <w:rPr>
                <w:rFonts w:hint="eastAsia"/>
                <w:spacing w:val="-3"/>
                <w:sz w:val="24"/>
              </w:rPr>
              <w:t>南阳市生态环境局大气污染防治精准决策系统建设与技术服务项目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jc w:val="center"/>
              <w:rPr>
                <w:sz w:val="24"/>
              </w:rPr>
            </w:pPr>
            <w:r>
              <w:rPr>
                <w:sz w:val="24"/>
              </w:rPr>
              <w:t>4</w:t>
            </w:r>
          </w:p>
        </w:tc>
        <w:tc>
          <w:tcPr>
            <w:tcW w:w="2010" w:type="dxa"/>
            <w:vAlign w:val="center"/>
          </w:tcPr>
          <w:p>
            <w:pPr>
              <w:pStyle w:val="27"/>
              <w:jc w:val="center"/>
              <w:rPr>
                <w:sz w:val="24"/>
              </w:rPr>
            </w:pPr>
            <w:r>
              <w:rPr>
                <w:sz w:val="24"/>
              </w:rPr>
              <w:t>项目地点</w:t>
            </w:r>
          </w:p>
        </w:tc>
        <w:tc>
          <w:tcPr>
            <w:tcW w:w="6011" w:type="dxa"/>
            <w:vAlign w:val="center"/>
          </w:tcPr>
          <w:p>
            <w:pPr>
              <w:pStyle w:val="27"/>
              <w:spacing w:line="360" w:lineRule="auto"/>
              <w:jc w:val="center"/>
              <w:rPr>
                <w:sz w:val="24"/>
              </w:rPr>
            </w:pPr>
            <w:r>
              <w:rPr>
                <w:sz w:val="24"/>
              </w:rPr>
              <w:t>南阳市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tcBorders>
              <w:bottom w:val="single" w:color="000000" w:sz="6" w:space="0"/>
            </w:tcBorders>
            <w:vAlign w:val="center"/>
          </w:tcPr>
          <w:p>
            <w:pPr>
              <w:pStyle w:val="27"/>
              <w:jc w:val="center"/>
              <w:rPr>
                <w:sz w:val="24"/>
              </w:rPr>
            </w:pPr>
            <w:r>
              <w:rPr>
                <w:sz w:val="24"/>
              </w:rPr>
              <w:t>5</w:t>
            </w:r>
          </w:p>
        </w:tc>
        <w:tc>
          <w:tcPr>
            <w:tcW w:w="2010" w:type="dxa"/>
            <w:tcBorders>
              <w:bottom w:val="single" w:color="000000" w:sz="6" w:space="0"/>
            </w:tcBorders>
            <w:vAlign w:val="center"/>
          </w:tcPr>
          <w:p>
            <w:pPr>
              <w:pStyle w:val="27"/>
              <w:jc w:val="center"/>
              <w:rPr>
                <w:sz w:val="24"/>
              </w:rPr>
            </w:pPr>
            <w:r>
              <w:rPr>
                <w:sz w:val="24"/>
              </w:rPr>
              <w:t>资金来源</w:t>
            </w:r>
          </w:p>
        </w:tc>
        <w:tc>
          <w:tcPr>
            <w:tcW w:w="6011" w:type="dxa"/>
            <w:tcBorders>
              <w:bottom w:val="single" w:color="000000" w:sz="6" w:space="0"/>
            </w:tcBorders>
            <w:vAlign w:val="center"/>
          </w:tcPr>
          <w:p>
            <w:pPr>
              <w:pStyle w:val="27"/>
              <w:spacing w:line="360" w:lineRule="auto"/>
              <w:jc w:val="center"/>
              <w:rPr>
                <w:sz w:val="24"/>
              </w:rPr>
            </w:pPr>
            <w:r>
              <w:rPr>
                <w:sz w:val="24"/>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tcBorders>
              <w:top w:val="single" w:color="000000" w:sz="6" w:space="0"/>
            </w:tcBorders>
            <w:vAlign w:val="center"/>
          </w:tcPr>
          <w:p>
            <w:pPr>
              <w:pStyle w:val="27"/>
              <w:jc w:val="center"/>
              <w:rPr>
                <w:sz w:val="24"/>
              </w:rPr>
            </w:pPr>
            <w:r>
              <w:rPr>
                <w:sz w:val="24"/>
              </w:rPr>
              <w:t>6</w:t>
            </w:r>
          </w:p>
        </w:tc>
        <w:tc>
          <w:tcPr>
            <w:tcW w:w="2010" w:type="dxa"/>
            <w:tcBorders>
              <w:top w:val="single" w:color="000000" w:sz="6" w:space="0"/>
            </w:tcBorders>
            <w:vAlign w:val="center"/>
          </w:tcPr>
          <w:p>
            <w:pPr>
              <w:pStyle w:val="27"/>
              <w:jc w:val="center"/>
              <w:rPr>
                <w:sz w:val="24"/>
              </w:rPr>
            </w:pPr>
            <w:r>
              <w:rPr>
                <w:sz w:val="24"/>
              </w:rPr>
              <w:t>资金落实情况</w:t>
            </w:r>
          </w:p>
        </w:tc>
        <w:tc>
          <w:tcPr>
            <w:tcW w:w="6011" w:type="dxa"/>
            <w:tcBorders>
              <w:top w:val="single" w:color="000000" w:sz="6" w:space="0"/>
            </w:tcBorders>
            <w:vAlign w:val="center"/>
          </w:tcPr>
          <w:p>
            <w:pPr>
              <w:pStyle w:val="27"/>
              <w:spacing w:line="360" w:lineRule="auto"/>
              <w:jc w:val="center"/>
              <w:rPr>
                <w:sz w:val="24"/>
              </w:rPr>
            </w:pPr>
            <w:r>
              <w:rPr>
                <w:sz w:val="24"/>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065" w:type="dxa"/>
            <w:vAlign w:val="center"/>
          </w:tcPr>
          <w:p>
            <w:pPr>
              <w:pStyle w:val="27"/>
              <w:jc w:val="center"/>
              <w:rPr>
                <w:sz w:val="24"/>
                <w:lang w:val="en-US"/>
              </w:rPr>
            </w:pPr>
            <w:r>
              <w:rPr>
                <w:rFonts w:hint="eastAsia"/>
                <w:sz w:val="24"/>
                <w:lang w:val="en-US"/>
              </w:rPr>
              <w:t>7</w:t>
            </w:r>
          </w:p>
        </w:tc>
        <w:tc>
          <w:tcPr>
            <w:tcW w:w="2010" w:type="dxa"/>
            <w:vAlign w:val="center"/>
          </w:tcPr>
          <w:p>
            <w:pPr>
              <w:pStyle w:val="27"/>
              <w:jc w:val="center"/>
              <w:rPr>
                <w:sz w:val="24"/>
              </w:rPr>
            </w:pPr>
            <w:r>
              <w:rPr>
                <w:sz w:val="24"/>
              </w:rPr>
              <w:t>服务期限</w:t>
            </w:r>
          </w:p>
        </w:tc>
        <w:tc>
          <w:tcPr>
            <w:tcW w:w="6011" w:type="dxa"/>
            <w:vAlign w:val="center"/>
          </w:tcPr>
          <w:p>
            <w:pPr>
              <w:pStyle w:val="27"/>
              <w:jc w:val="center"/>
              <w:rPr>
                <w:sz w:val="24"/>
              </w:rPr>
            </w:pPr>
            <w:r>
              <w:rPr>
                <w:rFonts w:hint="eastAsia"/>
                <w:sz w:val="24"/>
                <w:szCs w:val="24"/>
              </w:rPr>
              <w:t>自合同签订之日起3年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5" w:type="dxa"/>
            <w:vAlign w:val="center"/>
          </w:tcPr>
          <w:p>
            <w:pPr>
              <w:pStyle w:val="27"/>
              <w:jc w:val="center"/>
              <w:rPr>
                <w:sz w:val="24"/>
              </w:rPr>
            </w:pPr>
            <w:r>
              <w:rPr>
                <w:sz w:val="24"/>
              </w:rPr>
              <w:t>8</w:t>
            </w:r>
          </w:p>
        </w:tc>
        <w:tc>
          <w:tcPr>
            <w:tcW w:w="2010" w:type="dxa"/>
            <w:vAlign w:val="center"/>
          </w:tcPr>
          <w:p>
            <w:pPr>
              <w:pStyle w:val="27"/>
              <w:jc w:val="center"/>
              <w:rPr>
                <w:sz w:val="24"/>
              </w:rPr>
            </w:pPr>
            <w:r>
              <w:rPr>
                <w:sz w:val="24"/>
              </w:rPr>
              <w:t>质量要求</w:t>
            </w:r>
          </w:p>
        </w:tc>
        <w:tc>
          <w:tcPr>
            <w:tcW w:w="6011" w:type="dxa"/>
            <w:vAlign w:val="center"/>
          </w:tcPr>
          <w:p>
            <w:pPr>
              <w:pStyle w:val="27"/>
              <w:jc w:val="center"/>
              <w:rPr>
                <w:sz w:val="24"/>
              </w:rPr>
            </w:pPr>
            <w:r>
              <w:rPr>
                <w:rFonts w:hint="eastAsia"/>
                <w:sz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tcBorders>
              <w:bottom w:val="single" w:color="auto" w:sz="4" w:space="0"/>
            </w:tcBorders>
            <w:vAlign w:val="center"/>
          </w:tcPr>
          <w:p>
            <w:pPr>
              <w:pStyle w:val="27"/>
              <w:spacing w:before="1"/>
              <w:ind w:left="7"/>
              <w:jc w:val="center"/>
              <w:rPr>
                <w:sz w:val="24"/>
              </w:rPr>
            </w:pPr>
            <w:r>
              <w:rPr>
                <w:sz w:val="24"/>
              </w:rPr>
              <w:t>9</w:t>
            </w:r>
          </w:p>
        </w:tc>
        <w:tc>
          <w:tcPr>
            <w:tcW w:w="2010" w:type="dxa"/>
            <w:tcBorders>
              <w:bottom w:val="single" w:color="auto" w:sz="4" w:space="0"/>
            </w:tcBorders>
            <w:vAlign w:val="center"/>
          </w:tcPr>
          <w:p>
            <w:pPr>
              <w:pStyle w:val="27"/>
              <w:spacing w:before="1"/>
              <w:ind w:left="140" w:right="140"/>
              <w:jc w:val="center"/>
              <w:rPr>
                <w:sz w:val="24"/>
              </w:rPr>
            </w:pPr>
            <w:r>
              <w:rPr>
                <w:sz w:val="24"/>
              </w:rPr>
              <w:t>合格的投标人</w:t>
            </w:r>
          </w:p>
        </w:tc>
        <w:tc>
          <w:tcPr>
            <w:tcW w:w="6011" w:type="dxa"/>
            <w:tcBorders>
              <w:bottom w:val="single" w:color="auto" w:sz="4" w:space="0"/>
            </w:tcBorders>
            <w:vAlign w:val="center"/>
          </w:tcPr>
          <w:p>
            <w:pPr>
              <w:spacing w:line="360" w:lineRule="auto"/>
              <w:ind w:firstLine="480" w:firstLineChars="200"/>
              <w:rPr>
                <w:sz w:val="24"/>
                <w:szCs w:val="24"/>
              </w:rPr>
            </w:pPr>
            <w:r>
              <w:rPr>
                <w:rFonts w:hint="eastAsia"/>
                <w:sz w:val="24"/>
                <w:szCs w:val="24"/>
              </w:rPr>
              <w:t>1、满足《中华人民共和国政府采购法》第二十二条规定；</w:t>
            </w:r>
          </w:p>
          <w:p>
            <w:pPr>
              <w:spacing w:line="360" w:lineRule="auto"/>
              <w:ind w:firstLine="480" w:firstLineChars="200"/>
              <w:rPr>
                <w:sz w:val="24"/>
                <w:szCs w:val="24"/>
              </w:rPr>
            </w:pPr>
            <w:r>
              <w:rPr>
                <w:rFonts w:hint="eastAsia"/>
                <w:sz w:val="24"/>
                <w:szCs w:val="24"/>
              </w:rPr>
              <w:t>2、落实政府采购政策满足的资格要求：</w:t>
            </w:r>
          </w:p>
          <w:p>
            <w:pPr>
              <w:spacing w:line="360" w:lineRule="auto"/>
              <w:ind w:firstLine="480" w:firstLineChars="200"/>
              <w:rPr>
                <w:sz w:val="24"/>
                <w:szCs w:val="24"/>
              </w:rPr>
            </w:pPr>
            <w:r>
              <w:rPr>
                <w:rFonts w:hint="eastAsia"/>
                <w:sz w:val="24"/>
                <w:szCs w:val="24"/>
              </w:rPr>
              <w:t>本项目执行促进中小型企业发展政策（监狱企业、残疾人福利性企业视同小微企业）、强制采购节能产品、优先采购节能环保产品等政府采购政策。</w:t>
            </w:r>
          </w:p>
          <w:p>
            <w:pPr>
              <w:spacing w:line="360" w:lineRule="auto"/>
              <w:ind w:firstLine="480" w:firstLineChars="200"/>
              <w:rPr>
                <w:sz w:val="24"/>
                <w:szCs w:val="24"/>
              </w:rPr>
            </w:pPr>
            <w:r>
              <w:rPr>
                <w:rFonts w:hint="eastAsia"/>
                <w:sz w:val="24"/>
                <w:szCs w:val="24"/>
              </w:rPr>
              <w:t>3、本项目的特定资格要求：</w:t>
            </w:r>
          </w:p>
          <w:p>
            <w:pPr>
              <w:spacing w:line="360" w:lineRule="auto"/>
              <w:ind w:firstLine="480" w:firstLineChars="200"/>
              <w:rPr>
                <w:sz w:val="24"/>
                <w:szCs w:val="24"/>
              </w:rPr>
            </w:pPr>
            <w:r>
              <w:rPr>
                <w:rFonts w:hint="eastAsia"/>
                <w:sz w:val="24"/>
                <w:szCs w:val="24"/>
              </w:rPr>
              <w:t>3.1、投标人须具有独立法人资格，具有有效的营业执照；</w:t>
            </w:r>
          </w:p>
          <w:p>
            <w:pPr>
              <w:pStyle w:val="24"/>
              <w:spacing w:line="360" w:lineRule="auto"/>
              <w:ind w:firstLine="480" w:firstLineChars="200"/>
              <w:rPr>
                <w:color w:val="auto"/>
              </w:rPr>
            </w:pPr>
            <w:r>
              <w:rPr>
                <w:rFonts w:hint="eastAsia" w:hAnsi="宋体"/>
                <w:color w:val="auto"/>
              </w:rPr>
              <w:t>3.2</w:t>
            </w:r>
            <w:r>
              <w:rPr>
                <w:rFonts w:hint="eastAsia"/>
                <w:color w:val="auto"/>
              </w:rPr>
              <w:t>提供拟派项目负责人、委托代理为本单位正式员工，须提供公告发布之日前近连续3个月在本单位社保缴纳证明；</w:t>
            </w:r>
          </w:p>
          <w:p>
            <w:pPr>
              <w:pStyle w:val="24"/>
              <w:spacing w:line="360" w:lineRule="auto"/>
              <w:ind w:firstLine="480" w:firstLineChars="200"/>
              <w:rPr>
                <w:color w:val="auto"/>
              </w:rPr>
            </w:pPr>
            <w:r>
              <w:rPr>
                <w:rFonts w:hint="eastAsia"/>
                <w:color w:val="auto"/>
              </w:rPr>
              <w:t>3.3、投标人具有良好的商业信誉和健全的财务会计制度（须提供2020年度财务审计报告，公司成立时间不足一年的自成立年份开始提供）；</w:t>
            </w:r>
          </w:p>
          <w:p>
            <w:pPr>
              <w:pStyle w:val="24"/>
              <w:spacing w:line="360" w:lineRule="auto"/>
              <w:ind w:firstLine="480" w:firstLineChars="200"/>
              <w:rPr>
                <w:color w:val="auto"/>
              </w:rPr>
            </w:pPr>
            <w:r>
              <w:rPr>
                <w:rFonts w:hint="eastAsia"/>
                <w:color w:val="auto"/>
              </w:rPr>
              <w:t>3.4、投标人具</w:t>
            </w:r>
            <w:r>
              <w:rPr>
                <w:color w:val="auto"/>
              </w:rPr>
              <w:t>有依法缴纳税收和社会保障资金的良好记录（提供</w:t>
            </w:r>
            <w:r>
              <w:rPr>
                <w:rFonts w:hint="eastAsia"/>
                <w:color w:val="auto"/>
              </w:rPr>
              <w:t>公告发布之日前近连续3个月</w:t>
            </w:r>
            <w:r>
              <w:rPr>
                <w:color w:val="auto"/>
              </w:rPr>
              <w:t>依法缴纳税收和社会保障资金的证明复印件或扫描件（依法免税或不需要缴纳社会保障资金的单位，应提供相应文件证明其依法免税或不需要缴纳社会保障金，新成立企业从成立之日起计算））；</w:t>
            </w:r>
          </w:p>
          <w:p>
            <w:pPr>
              <w:pStyle w:val="24"/>
              <w:spacing w:line="360" w:lineRule="auto"/>
              <w:ind w:firstLine="480" w:firstLineChars="200"/>
              <w:rPr>
                <w:color w:val="auto"/>
              </w:rPr>
            </w:pPr>
            <w:r>
              <w:rPr>
                <w:rFonts w:hint="eastAsia"/>
                <w:color w:val="auto"/>
              </w:rPr>
              <w:t>3.5、</w:t>
            </w:r>
            <w:r>
              <w:rPr>
                <w:color w:val="auto"/>
              </w:rPr>
              <w:t>投标人具有履行合同所必需的设备和专业技术能力（须提供承诺书）；</w:t>
            </w:r>
          </w:p>
          <w:p>
            <w:pPr>
              <w:pStyle w:val="24"/>
              <w:spacing w:line="360" w:lineRule="auto"/>
              <w:ind w:firstLine="480" w:firstLineChars="200"/>
              <w:rPr>
                <w:color w:val="auto"/>
              </w:rPr>
            </w:pPr>
            <w:r>
              <w:rPr>
                <w:rFonts w:hint="eastAsia"/>
                <w:color w:val="auto"/>
              </w:rPr>
              <w:t>3.6、</w:t>
            </w:r>
            <w:r>
              <w:rPr>
                <w:color w:val="auto"/>
              </w:rPr>
              <w:t>投标人参加政府采购活动前三年内，在经营活动中没有重大违法记录（须提供参加政府采购活动前三年内，在经营活动中没有重大违法记录的书面声明）；</w:t>
            </w:r>
          </w:p>
          <w:p>
            <w:pPr>
              <w:spacing w:line="360" w:lineRule="auto"/>
              <w:ind w:firstLine="480" w:firstLineChars="200"/>
              <w:rPr>
                <w:sz w:val="24"/>
                <w:szCs w:val="24"/>
              </w:rPr>
            </w:pPr>
            <w:r>
              <w:rPr>
                <w:rFonts w:hint="eastAsia"/>
                <w:sz w:val="24"/>
                <w:szCs w:val="24"/>
              </w:rPr>
              <w:t>3.</w:t>
            </w:r>
            <w:r>
              <w:rPr>
                <w:rFonts w:hint="eastAsia"/>
                <w:sz w:val="24"/>
                <w:szCs w:val="24"/>
                <w:lang w:val="en-US"/>
              </w:rPr>
              <w:t>7</w:t>
            </w:r>
            <w:r>
              <w:rPr>
                <w:rFonts w:hint="eastAsia"/>
                <w:sz w:val="24"/>
                <w:szCs w:val="24"/>
              </w:rPr>
              <w:t>、投标人需提供无行贿犯罪记录承诺函（承诺对象包括：投标企业、法定代表人），并对其真实性负责，若承诺不实，造成的后果由投标人自行负责（格式自拟）。</w:t>
            </w:r>
          </w:p>
          <w:p>
            <w:pPr>
              <w:pStyle w:val="24"/>
              <w:spacing w:line="360" w:lineRule="auto"/>
              <w:ind w:firstLine="480" w:firstLineChars="200"/>
              <w:rPr>
                <w:rFonts w:hAnsi="宋体"/>
                <w:color w:val="auto"/>
              </w:rPr>
            </w:pPr>
            <w:r>
              <w:rPr>
                <w:rFonts w:hint="eastAsia" w:hAnsi="宋体"/>
                <w:color w:val="auto"/>
              </w:rPr>
              <w:t>3.8、按照《财政部关于在政府采购活动中查询及使用信用记录有关问题的通知》（财库〔2016〕125 号）的要求，对列入失信被执行人、重大税收违法案件当事人名单、政府采购严重违法失信行为记录名单的供应商，拒绝参与本项目招标。依据《关于在公共资源交易活动中实施信用监管的通知》（宛公管办[2020]22号）文，供应商需提供规范的信用报告，信用报告应通过“信用中国”网站（www.creditchina.gov.cn）下载，信用报告的生成日期为本项目递交投标文件截止时间前10日内。</w:t>
            </w:r>
          </w:p>
          <w:p>
            <w:pPr>
              <w:pStyle w:val="27"/>
              <w:spacing w:line="360" w:lineRule="auto"/>
              <w:jc w:val="both"/>
              <w:rPr>
                <w:sz w:val="24"/>
                <w:szCs w:val="24"/>
                <w:lang w:val="en-US"/>
              </w:rPr>
            </w:pPr>
            <w:r>
              <w:rPr>
                <w:rFonts w:hint="eastAsia"/>
                <w:sz w:val="24"/>
                <w:szCs w:val="24"/>
                <w:lang w:val="en-US"/>
              </w:rPr>
              <w:t>3.9、本项目不接受联合体投标，不允许转包和分包。</w:t>
            </w:r>
          </w:p>
          <w:p>
            <w:pPr>
              <w:pStyle w:val="27"/>
              <w:spacing w:line="360" w:lineRule="auto"/>
              <w:jc w:val="both"/>
              <w:rPr>
                <w:sz w:val="24"/>
                <w:szCs w:val="24"/>
                <w:lang w:val="en-US"/>
              </w:rPr>
            </w:pPr>
            <w:r>
              <w:rPr>
                <w:rFonts w:hint="eastAsia"/>
                <w:b/>
                <w:bCs/>
                <w:sz w:val="24"/>
                <w:szCs w:val="24"/>
                <w:lang w:val="en-US"/>
              </w:rPr>
              <w:t>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供应商承担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ind w:left="331" w:right="324"/>
              <w:jc w:val="center"/>
              <w:rPr>
                <w:sz w:val="24"/>
              </w:rPr>
            </w:pPr>
            <w:r>
              <w:rPr>
                <w:sz w:val="24"/>
              </w:rPr>
              <w:t>10</w:t>
            </w:r>
          </w:p>
        </w:tc>
        <w:tc>
          <w:tcPr>
            <w:tcW w:w="2010" w:type="dxa"/>
            <w:vAlign w:val="center"/>
          </w:tcPr>
          <w:p>
            <w:pPr>
              <w:pStyle w:val="27"/>
              <w:spacing w:line="440" w:lineRule="exact"/>
              <w:ind w:left="743" w:right="140" w:hanging="600"/>
              <w:rPr>
                <w:sz w:val="24"/>
              </w:rPr>
            </w:pPr>
            <w:r>
              <w:rPr>
                <w:rFonts w:hint="eastAsia"/>
                <w:sz w:val="24"/>
              </w:rPr>
              <w:t>是否接受联合体</w:t>
            </w:r>
          </w:p>
        </w:tc>
        <w:tc>
          <w:tcPr>
            <w:tcW w:w="6011" w:type="dxa"/>
            <w:vAlign w:val="center"/>
          </w:tcPr>
          <w:p>
            <w:pPr>
              <w:pStyle w:val="27"/>
              <w:ind w:left="104"/>
              <w:rPr>
                <w:sz w:val="24"/>
              </w:rPr>
            </w:pPr>
            <w:r>
              <w:rPr>
                <w:sz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65" w:type="dxa"/>
            <w:vAlign w:val="center"/>
          </w:tcPr>
          <w:p>
            <w:pPr>
              <w:pStyle w:val="27"/>
              <w:spacing w:before="196"/>
              <w:ind w:left="331" w:right="324"/>
              <w:jc w:val="center"/>
              <w:rPr>
                <w:sz w:val="24"/>
              </w:rPr>
            </w:pPr>
            <w:r>
              <w:rPr>
                <w:sz w:val="24"/>
              </w:rPr>
              <w:t>11</w:t>
            </w:r>
          </w:p>
        </w:tc>
        <w:tc>
          <w:tcPr>
            <w:tcW w:w="2010" w:type="dxa"/>
            <w:vAlign w:val="center"/>
          </w:tcPr>
          <w:p>
            <w:pPr>
              <w:pStyle w:val="27"/>
              <w:spacing w:before="196"/>
              <w:jc w:val="center"/>
              <w:rPr>
                <w:sz w:val="24"/>
              </w:rPr>
            </w:pPr>
            <w:r>
              <w:rPr>
                <w:sz w:val="24"/>
              </w:rPr>
              <w:t>踏勘现场</w:t>
            </w:r>
          </w:p>
        </w:tc>
        <w:tc>
          <w:tcPr>
            <w:tcW w:w="6011" w:type="dxa"/>
            <w:vAlign w:val="center"/>
          </w:tcPr>
          <w:p>
            <w:pPr>
              <w:pStyle w:val="27"/>
              <w:spacing w:before="196"/>
              <w:ind w:left="104"/>
              <w:rPr>
                <w:sz w:val="24"/>
              </w:rPr>
            </w:pPr>
            <w:r>
              <w:rPr>
                <w:sz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spacing w:before="149"/>
              <w:ind w:left="331" w:right="324"/>
              <w:jc w:val="center"/>
              <w:rPr>
                <w:sz w:val="24"/>
              </w:rPr>
            </w:pPr>
            <w:r>
              <w:rPr>
                <w:sz w:val="24"/>
              </w:rPr>
              <w:t>12</w:t>
            </w:r>
          </w:p>
        </w:tc>
        <w:tc>
          <w:tcPr>
            <w:tcW w:w="2010" w:type="dxa"/>
            <w:vAlign w:val="center"/>
          </w:tcPr>
          <w:p>
            <w:pPr>
              <w:pStyle w:val="27"/>
              <w:spacing w:before="149"/>
              <w:ind w:right="140"/>
              <w:jc w:val="center"/>
              <w:rPr>
                <w:sz w:val="24"/>
              </w:rPr>
            </w:pPr>
            <w:r>
              <w:rPr>
                <w:sz w:val="24"/>
              </w:rPr>
              <w:t>投标预备会</w:t>
            </w:r>
          </w:p>
        </w:tc>
        <w:tc>
          <w:tcPr>
            <w:tcW w:w="6011" w:type="dxa"/>
            <w:vAlign w:val="center"/>
          </w:tcPr>
          <w:p>
            <w:pPr>
              <w:pStyle w:val="27"/>
              <w:spacing w:before="149"/>
              <w:ind w:left="104"/>
              <w:rPr>
                <w:sz w:val="24"/>
              </w:rPr>
            </w:pPr>
            <w:r>
              <w:rPr>
                <w:sz w:val="24"/>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jc w:val="center"/>
              <w:rPr>
                <w:b/>
                <w:sz w:val="26"/>
              </w:rPr>
            </w:pPr>
          </w:p>
          <w:p>
            <w:pPr>
              <w:pStyle w:val="27"/>
              <w:ind w:left="331" w:right="324"/>
              <w:jc w:val="center"/>
              <w:rPr>
                <w:sz w:val="24"/>
              </w:rPr>
            </w:pPr>
            <w:r>
              <w:rPr>
                <w:sz w:val="24"/>
              </w:rPr>
              <w:t>13</w:t>
            </w:r>
          </w:p>
        </w:tc>
        <w:tc>
          <w:tcPr>
            <w:tcW w:w="2010" w:type="dxa"/>
            <w:vAlign w:val="center"/>
          </w:tcPr>
          <w:p>
            <w:pPr>
              <w:pStyle w:val="27"/>
              <w:spacing w:line="440" w:lineRule="exact"/>
              <w:ind w:right="140"/>
              <w:jc w:val="center"/>
              <w:rPr>
                <w:sz w:val="24"/>
              </w:rPr>
            </w:pPr>
            <w:r>
              <w:rPr>
                <w:sz w:val="24"/>
              </w:rPr>
              <w:t>投标人提出问题的截止时间</w:t>
            </w:r>
          </w:p>
        </w:tc>
        <w:tc>
          <w:tcPr>
            <w:tcW w:w="6011" w:type="dxa"/>
            <w:vAlign w:val="center"/>
          </w:tcPr>
          <w:p>
            <w:pPr>
              <w:pStyle w:val="27"/>
              <w:rPr>
                <w:sz w:val="24"/>
              </w:rPr>
            </w:pPr>
            <w:r>
              <w:rPr>
                <w:sz w:val="24"/>
              </w:rPr>
              <w:t>投标截止时间10日前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065" w:type="dxa"/>
            <w:vAlign w:val="center"/>
          </w:tcPr>
          <w:p>
            <w:pPr>
              <w:pStyle w:val="27"/>
              <w:spacing w:before="11"/>
              <w:jc w:val="center"/>
              <w:rPr>
                <w:b/>
                <w:sz w:val="18"/>
              </w:rPr>
            </w:pPr>
          </w:p>
          <w:p>
            <w:pPr>
              <w:pStyle w:val="27"/>
              <w:ind w:left="331" w:right="324"/>
              <w:jc w:val="center"/>
              <w:rPr>
                <w:sz w:val="24"/>
              </w:rPr>
            </w:pPr>
            <w:r>
              <w:rPr>
                <w:sz w:val="24"/>
              </w:rPr>
              <w:t>15</w:t>
            </w:r>
          </w:p>
        </w:tc>
        <w:tc>
          <w:tcPr>
            <w:tcW w:w="2010" w:type="dxa"/>
            <w:vAlign w:val="center"/>
          </w:tcPr>
          <w:p>
            <w:pPr>
              <w:pStyle w:val="27"/>
              <w:ind w:right="140"/>
              <w:jc w:val="center"/>
              <w:rPr>
                <w:sz w:val="24"/>
              </w:rPr>
            </w:pPr>
            <w:r>
              <w:rPr>
                <w:sz w:val="24"/>
              </w:rPr>
              <w:t>分包</w:t>
            </w:r>
          </w:p>
        </w:tc>
        <w:tc>
          <w:tcPr>
            <w:tcW w:w="6011" w:type="dxa"/>
            <w:vAlign w:val="center"/>
          </w:tcPr>
          <w:p>
            <w:pPr>
              <w:pStyle w:val="27"/>
              <w:spacing w:before="11"/>
              <w:rPr>
                <w:b/>
                <w:sz w:val="18"/>
              </w:rPr>
            </w:pPr>
          </w:p>
          <w:p>
            <w:pPr>
              <w:pStyle w:val="27"/>
              <w:rPr>
                <w:sz w:val="24"/>
              </w:rPr>
            </w:pPr>
            <w:r>
              <w:rPr>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065" w:type="dxa"/>
            <w:vAlign w:val="center"/>
          </w:tcPr>
          <w:p>
            <w:pPr>
              <w:pStyle w:val="27"/>
              <w:spacing w:before="12"/>
              <w:jc w:val="center"/>
              <w:rPr>
                <w:b/>
                <w:sz w:val="17"/>
              </w:rPr>
            </w:pPr>
          </w:p>
          <w:p>
            <w:pPr>
              <w:pStyle w:val="27"/>
              <w:ind w:left="331" w:right="324"/>
              <w:jc w:val="center"/>
              <w:rPr>
                <w:sz w:val="24"/>
              </w:rPr>
            </w:pPr>
            <w:r>
              <w:rPr>
                <w:sz w:val="24"/>
              </w:rPr>
              <w:t>16</w:t>
            </w:r>
          </w:p>
        </w:tc>
        <w:tc>
          <w:tcPr>
            <w:tcW w:w="2010" w:type="dxa"/>
            <w:vAlign w:val="center"/>
          </w:tcPr>
          <w:p>
            <w:pPr>
              <w:pStyle w:val="27"/>
              <w:ind w:right="140"/>
              <w:jc w:val="center"/>
              <w:rPr>
                <w:sz w:val="24"/>
              </w:rPr>
            </w:pPr>
            <w:r>
              <w:rPr>
                <w:sz w:val="24"/>
              </w:rPr>
              <w:t>偏离</w:t>
            </w:r>
          </w:p>
        </w:tc>
        <w:tc>
          <w:tcPr>
            <w:tcW w:w="6011" w:type="dxa"/>
            <w:vAlign w:val="center"/>
          </w:tcPr>
          <w:p>
            <w:pPr>
              <w:pStyle w:val="27"/>
              <w:rPr>
                <w:sz w:val="24"/>
              </w:rPr>
            </w:pPr>
            <w:r>
              <w:rPr>
                <w:sz w:val="2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spacing w:before="10"/>
              <w:jc w:val="center"/>
              <w:rPr>
                <w:b/>
                <w:sz w:val="25"/>
              </w:rPr>
            </w:pPr>
          </w:p>
          <w:p>
            <w:pPr>
              <w:pStyle w:val="27"/>
              <w:ind w:left="331" w:right="324"/>
              <w:jc w:val="center"/>
              <w:rPr>
                <w:sz w:val="24"/>
              </w:rPr>
            </w:pPr>
            <w:r>
              <w:rPr>
                <w:sz w:val="24"/>
              </w:rPr>
              <w:t>17</w:t>
            </w:r>
          </w:p>
        </w:tc>
        <w:tc>
          <w:tcPr>
            <w:tcW w:w="2010" w:type="dxa"/>
            <w:vAlign w:val="center"/>
          </w:tcPr>
          <w:p>
            <w:pPr>
              <w:pStyle w:val="27"/>
              <w:spacing w:line="440" w:lineRule="exact"/>
              <w:ind w:right="140"/>
              <w:jc w:val="center"/>
              <w:rPr>
                <w:sz w:val="24"/>
              </w:rPr>
            </w:pPr>
            <w:r>
              <w:rPr>
                <w:rFonts w:hint="eastAsia"/>
                <w:sz w:val="24"/>
              </w:rPr>
              <w:t>构成招标文件的其他材料</w:t>
            </w:r>
          </w:p>
        </w:tc>
        <w:tc>
          <w:tcPr>
            <w:tcW w:w="6011" w:type="dxa"/>
            <w:vAlign w:val="center"/>
          </w:tcPr>
          <w:p>
            <w:pPr>
              <w:pStyle w:val="27"/>
              <w:rPr>
                <w:sz w:val="24"/>
              </w:rPr>
            </w:pPr>
            <w:r>
              <w:rPr>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spacing w:before="1"/>
              <w:ind w:left="331" w:right="324"/>
              <w:jc w:val="center"/>
              <w:rPr>
                <w:sz w:val="24"/>
              </w:rPr>
            </w:pPr>
            <w:r>
              <w:rPr>
                <w:sz w:val="24"/>
              </w:rPr>
              <w:t>18</w:t>
            </w:r>
          </w:p>
        </w:tc>
        <w:tc>
          <w:tcPr>
            <w:tcW w:w="2010" w:type="dxa"/>
            <w:vAlign w:val="center"/>
          </w:tcPr>
          <w:p>
            <w:pPr>
              <w:pStyle w:val="27"/>
              <w:spacing w:before="1" w:line="440" w:lineRule="exact"/>
              <w:ind w:left="143" w:right="140"/>
              <w:jc w:val="center"/>
              <w:rPr>
                <w:sz w:val="24"/>
              </w:rPr>
            </w:pPr>
            <w:r>
              <w:rPr>
                <w:sz w:val="24"/>
              </w:rPr>
              <w:t>投标人要求澄清招标文件的截止时间</w:t>
            </w:r>
          </w:p>
        </w:tc>
        <w:tc>
          <w:tcPr>
            <w:tcW w:w="6011" w:type="dxa"/>
            <w:vAlign w:val="center"/>
          </w:tcPr>
          <w:p>
            <w:pPr>
              <w:pStyle w:val="27"/>
              <w:spacing w:before="1"/>
              <w:jc w:val="both"/>
              <w:rPr>
                <w:sz w:val="24"/>
              </w:rPr>
            </w:pPr>
            <w:r>
              <w:rPr>
                <w:sz w:val="24"/>
              </w:rPr>
              <w:t>投标截止时间15日前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spacing w:before="148"/>
              <w:ind w:left="331" w:right="324"/>
              <w:jc w:val="center"/>
              <w:rPr>
                <w:sz w:val="24"/>
              </w:rPr>
            </w:pPr>
            <w:r>
              <w:rPr>
                <w:sz w:val="24"/>
              </w:rPr>
              <w:t>19</w:t>
            </w:r>
          </w:p>
        </w:tc>
        <w:tc>
          <w:tcPr>
            <w:tcW w:w="2010" w:type="dxa"/>
            <w:vAlign w:val="center"/>
          </w:tcPr>
          <w:p>
            <w:pPr>
              <w:pStyle w:val="27"/>
              <w:spacing w:before="148"/>
              <w:ind w:left="140" w:right="140"/>
              <w:jc w:val="center"/>
              <w:rPr>
                <w:sz w:val="24"/>
              </w:rPr>
            </w:pPr>
            <w:r>
              <w:rPr>
                <w:sz w:val="24"/>
              </w:rPr>
              <w:t>投标截止时间</w:t>
            </w:r>
          </w:p>
        </w:tc>
        <w:tc>
          <w:tcPr>
            <w:tcW w:w="6011" w:type="dxa"/>
            <w:vAlign w:val="center"/>
          </w:tcPr>
          <w:p>
            <w:pPr>
              <w:pStyle w:val="27"/>
              <w:spacing w:before="148"/>
              <w:ind w:left="104"/>
              <w:jc w:val="both"/>
              <w:rPr>
                <w:sz w:val="24"/>
              </w:rPr>
            </w:pPr>
            <w:r>
              <w:rPr>
                <w:rFonts w:hint="eastAsia"/>
                <w:b/>
                <w:bCs/>
                <w:sz w:val="24"/>
              </w:rPr>
              <w:t>2021年</w:t>
            </w:r>
            <w:r>
              <w:rPr>
                <w:rFonts w:hint="eastAsia"/>
                <w:b/>
                <w:bCs/>
                <w:sz w:val="24"/>
                <w:lang w:val="en-US" w:eastAsia="zh-CN"/>
              </w:rPr>
              <w:t>11</w:t>
            </w:r>
            <w:r>
              <w:rPr>
                <w:rFonts w:hint="eastAsia"/>
                <w:b/>
                <w:bCs/>
                <w:sz w:val="24"/>
              </w:rPr>
              <w:t>月</w:t>
            </w:r>
            <w:r>
              <w:rPr>
                <w:rFonts w:hint="eastAsia"/>
                <w:b/>
                <w:bCs/>
                <w:sz w:val="24"/>
                <w:lang w:val="en-US" w:eastAsia="zh-CN"/>
              </w:rPr>
              <w:t>11</w:t>
            </w:r>
            <w:r>
              <w:rPr>
                <w:rFonts w:hint="eastAsia"/>
                <w:b/>
                <w:bCs/>
                <w:sz w:val="24"/>
              </w:rPr>
              <w:t>日</w:t>
            </w:r>
            <w:r>
              <w:rPr>
                <w:rFonts w:hint="eastAsia"/>
                <w:b/>
                <w:bCs/>
                <w:sz w:val="24"/>
                <w:lang w:val="en-US" w:eastAsia="zh-CN"/>
              </w:rPr>
              <w:t>09</w:t>
            </w:r>
            <w:r>
              <w:rPr>
                <w:rFonts w:hint="eastAsia"/>
                <w:b/>
                <w:bCs/>
                <w:sz w:val="24"/>
              </w:rPr>
              <w:t>时</w:t>
            </w:r>
            <w:r>
              <w:rPr>
                <w:rFonts w:hint="eastAsia"/>
                <w:b/>
                <w:bCs/>
                <w:sz w:val="24"/>
                <w:lang w:val="en-US" w:eastAsia="zh-CN"/>
              </w:rPr>
              <w:t>00</w:t>
            </w:r>
            <w:r>
              <w:rPr>
                <w:rFonts w:hint="eastAsia"/>
                <w:b/>
                <w:bCs/>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spacing w:before="148"/>
              <w:ind w:left="331" w:right="324"/>
              <w:jc w:val="center"/>
              <w:rPr>
                <w:sz w:val="24"/>
                <w:lang w:val="en-US"/>
              </w:rPr>
            </w:pPr>
            <w:r>
              <w:rPr>
                <w:rFonts w:hint="eastAsia"/>
                <w:sz w:val="24"/>
                <w:lang w:val="en-US"/>
              </w:rPr>
              <w:t>20</w:t>
            </w:r>
          </w:p>
        </w:tc>
        <w:tc>
          <w:tcPr>
            <w:tcW w:w="2010" w:type="dxa"/>
            <w:vAlign w:val="center"/>
          </w:tcPr>
          <w:p>
            <w:pPr>
              <w:pStyle w:val="27"/>
              <w:spacing w:before="148" w:line="360" w:lineRule="auto"/>
              <w:ind w:left="140" w:right="140"/>
              <w:jc w:val="center"/>
              <w:rPr>
                <w:sz w:val="24"/>
              </w:rPr>
            </w:pPr>
            <w:r>
              <w:rPr>
                <w:sz w:val="24"/>
              </w:rPr>
              <w:t>投标人确认收到招标文件澄清的时间</w:t>
            </w:r>
          </w:p>
        </w:tc>
        <w:tc>
          <w:tcPr>
            <w:tcW w:w="6011" w:type="dxa"/>
            <w:vAlign w:val="center"/>
          </w:tcPr>
          <w:p>
            <w:pPr>
              <w:pStyle w:val="27"/>
              <w:spacing w:before="148"/>
              <w:ind w:left="104"/>
              <w:jc w:val="both"/>
              <w:rPr>
                <w:b/>
                <w:sz w:val="24"/>
              </w:rPr>
            </w:pPr>
            <w:r>
              <w:rPr>
                <w:sz w:val="24"/>
              </w:rPr>
              <w:t>收到文件后 24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1065" w:type="dxa"/>
            <w:vAlign w:val="center"/>
          </w:tcPr>
          <w:p>
            <w:pPr>
              <w:pStyle w:val="27"/>
              <w:spacing w:before="148"/>
              <w:ind w:left="331" w:right="324"/>
              <w:jc w:val="center"/>
              <w:rPr>
                <w:sz w:val="24"/>
                <w:lang w:val="en-US"/>
              </w:rPr>
            </w:pPr>
            <w:r>
              <w:rPr>
                <w:rFonts w:hint="eastAsia"/>
                <w:sz w:val="24"/>
                <w:lang w:val="en-US"/>
              </w:rPr>
              <w:t>21</w:t>
            </w:r>
          </w:p>
        </w:tc>
        <w:tc>
          <w:tcPr>
            <w:tcW w:w="2010" w:type="dxa"/>
            <w:vAlign w:val="center"/>
          </w:tcPr>
          <w:p>
            <w:pPr>
              <w:pStyle w:val="27"/>
              <w:spacing w:before="148" w:line="360" w:lineRule="auto"/>
              <w:ind w:left="140" w:right="140"/>
              <w:jc w:val="center"/>
              <w:rPr>
                <w:sz w:val="24"/>
              </w:rPr>
            </w:pPr>
            <w:r>
              <w:rPr>
                <w:sz w:val="24"/>
              </w:rPr>
              <w:t>投标人确认收到招标文件修改的时间</w:t>
            </w:r>
          </w:p>
        </w:tc>
        <w:tc>
          <w:tcPr>
            <w:tcW w:w="6011" w:type="dxa"/>
            <w:vAlign w:val="center"/>
          </w:tcPr>
          <w:p>
            <w:pPr>
              <w:pStyle w:val="27"/>
              <w:spacing w:before="148"/>
              <w:ind w:left="104"/>
              <w:jc w:val="both"/>
              <w:rPr>
                <w:b/>
                <w:sz w:val="24"/>
              </w:rPr>
            </w:pPr>
            <w:r>
              <w:rPr>
                <w:sz w:val="24"/>
              </w:rPr>
              <w:t>收到文件后 24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065" w:type="dxa"/>
            <w:vAlign w:val="center"/>
          </w:tcPr>
          <w:p>
            <w:pPr>
              <w:pStyle w:val="27"/>
              <w:spacing w:before="148"/>
              <w:ind w:left="331" w:right="324"/>
              <w:jc w:val="center"/>
              <w:rPr>
                <w:sz w:val="24"/>
                <w:lang w:val="en-US"/>
              </w:rPr>
            </w:pPr>
            <w:r>
              <w:rPr>
                <w:rFonts w:hint="eastAsia"/>
                <w:sz w:val="24"/>
                <w:lang w:val="en-US"/>
              </w:rPr>
              <w:t>22</w:t>
            </w:r>
          </w:p>
        </w:tc>
        <w:tc>
          <w:tcPr>
            <w:tcW w:w="2010" w:type="dxa"/>
            <w:vAlign w:val="center"/>
          </w:tcPr>
          <w:p>
            <w:pPr>
              <w:pStyle w:val="27"/>
              <w:spacing w:before="148"/>
              <w:ind w:left="140" w:right="140"/>
              <w:jc w:val="center"/>
              <w:rPr>
                <w:sz w:val="24"/>
              </w:rPr>
            </w:pPr>
            <w:r>
              <w:rPr>
                <w:sz w:val="24"/>
              </w:rPr>
              <w:t>构成投标文件的其他材料</w:t>
            </w:r>
          </w:p>
        </w:tc>
        <w:tc>
          <w:tcPr>
            <w:tcW w:w="6011" w:type="dxa"/>
            <w:vAlign w:val="center"/>
          </w:tcPr>
          <w:p>
            <w:pPr>
              <w:pStyle w:val="27"/>
              <w:spacing w:before="148"/>
              <w:ind w:left="104"/>
              <w:jc w:val="both"/>
              <w:rPr>
                <w:b/>
                <w:sz w:val="24"/>
              </w:rPr>
            </w:pPr>
            <w:r>
              <w:rPr>
                <w:sz w:val="24"/>
              </w:rPr>
              <w:t>投标人认为需要提供的其它资料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65" w:type="dxa"/>
            <w:vAlign w:val="center"/>
          </w:tcPr>
          <w:p>
            <w:pPr>
              <w:pStyle w:val="27"/>
              <w:spacing w:before="199"/>
              <w:ind w:left="331" w:right="324"/>
              <w:jc w:val="center"/>
              <w:rPr>
                <w:sz w:val="24"/>
              </w:rPr>
            </w:pPr>
            <w:r>
              <w:rPr>
                <w:sz w:val="24"/>
              </w:rPr>
              <w:t>23</w:t>
            </w:r>
          </w:p>
        </w:tc>
        <w:tc>
          <w:tcPr>
            <w:tcW w:w="2010" w:type="dxa"/>
            <w:vAlign w:val="center"/>
          </w:tcPr>
          <w:p>
            <w:pPr>
              <w:pStyle w:val="27"/>
              <w:spacing w:before="199"/>
              <w:ind w:right="140"/>
              <w:jc w:val="center"/>
              <w:rPr>
                <w:sz w:val="24"/>
              </w:rPr>
            </w:pPr>
            <w:r>
              <w:rPr>
                <w:sz w:val="24"/>
              </w:rPr>
              <w:t>投标有效期</w:t>
            </w:r>
          </w:p>
        </w:tc>
        <w:tc>
          <w:tcPr>
            <w:tcW w:w="6011" w:type="dxa"/>
            <w:vAlign w:val="center"/>
          </w:tcPr>
          <w:p>
            <w:pPr>
              <w:pStyle w:val="27"/>
              <w:spacing w:before="199"/>
              <w:ind w:left="104"/>
              <w:jc w:val="both"/>
              <w:rPr>
                <w:b/>
                <w:sz w:val="24"/>
              </w:rPr>
            </w:pPr>
            <w:r>
              <w:rPr>
                <w:sz w:val="24"/>
              </w:rPr>
              <w:t xml:space="preserve">从投标截止之日起计算 </w:t>
            </w:r>
            <w:r>
              <w:rPr>
                <w:sz w:val="24"/>
                <w:u w:val="single"/>
              </w:rPr>
              <w:t>60</w:t>
            </w:r>
            <w:r>
              <w:rPr>
                <w:sz w:val="24"/>
              </w:rPr>
              <w:t xml:space="preserve">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ind w:left="331" w:right="324"/>
              <w:jc w:val="center"/>
              <w:rPr>
                <w:sz w:val="24"/>
              </w:rPr>
            </w:pPr>
            <w:r>
              <w:rPr>
                <w:sz w:val="24"/>
              </w:rPr>
              <w:t>24</w:t>
            </w:r>
          </w:p>
        </w:tc>
        <w:tc>
          <w:tcPr>
            <w:tcW w:w="2010" w:type="dxa"/>
            <w:vAlign w:val="center"/>
          </w:tcPr>
          <w:p>
            <w:pPr>
              <w:pStyle w:val="27"/>
              <w:spacing w:line="440" w:lineRule="exact"/>
              <w:ind w:right="140"/>
              <w:jc w:val="center"/>
              <w:rPr>
                <w:sz w:val="24"/>
              </w:rPr>
            </w:pPr>
            <w:r>
              <w:rPr>
                <w:sz w:val="24"/>
              </w:rPr>
              <w:t>近年财务状况的年份要求</w:t>
            </w:r>
          </w:p>
        </w:tc>
        <w:tc>
          <w:tcPr>
            <w:tcW w:w="6011" w:type="dxa"/>
            <w:vAlign w:val="center"/>
          </w:tcPr>
          <w:p>
            <w:pPr>
              <w:pStyle w:val="27"/>
              <w:jc w:val="both"/>
              <w:rPr>
                <w:b/>
                <w:sz w:val="24"/>
              </w:rPr>
            </w:pPr>
            <w:r>
              <w:rPr>
                <w:sz w:val="24"/>
              </w:rPr>
              <w:t>2020年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ind w:left="331" w:right="324"/>
              <w:jc w:val="center"/>
              <w:rPr>
                <w:sz w:val="24"/>
              </w:rPr>
            </w:pPr>
            <w:r>
              <w:rPr>
                <w:sz w:val="24"/>
              </w:rPr>
              <w:t>25</w:t>
            </w:r>
          </w:p>
        </w:tc>
        <w:tc>
          <w:tcPr>
            <w:tcW w:w="2010" w:type="dxa"/>
            <w:vAlign w:val="center"/>
          </w:tcPr>
          <w:p>
            <w:pPr>
              <w:pStyle w:val="27"/>
              <w:spacing w:before="47" w:line="440" w:lineRule="atLeast"/>
              <w:ind w:left="143" w:right="140"/>
              <w:jc w:val="center"/>
              <w:rPr>
                <w:sz w:val="24"/>
              </w:rPr>
            </w:pPr>
            <w:r>
              <w:rPr>
                <w:sz w:val="24"/>
              </w:rPr>
              <w:t>近年完成的类似项目的年份要求</w:t>
            </w:r>
          </w:p>
        </w:tc>
        <w:tc>
          <w:tcPr>
            <w:tcW w:w="6011" w:type="dxa"/>
            <w:vAlign w:val="center"/>
          </w:tcPr>
          <w:p>
            <w:pPr>
              <w:pStyle w:val="27"/>
              <w:spacing w:before="1"/>
              <w:jc w:val="both"/>
              <w:rPr>
                <w:b/>
                <w:sz w:val="31"/>
              </w:rPr>
            </w:pPr>
          </w:p>
          <w:p>
            <w:pPr>
              <w:pStyle w:val="27"/>
              <w:ind w:left="104"/>
              <w:jc w:val="both"/>
              <w:rPr>
                <w:b/>
                <w:sz w:val="24"/>
              </w:rPr>
            </w:pPr>
            <w:r>
              <w:rPr>
                <w:sz w:val="24"/>
                <w:u w:val="single"/>
              </w:rPr>
              <w:t>2018</w:t>
            </w:r>
            <w:r>
              <w:rPr>
                <w:sz w:val="24"/>
              </w:rPr>
              <w:t xml:space="preserve"> 年 </w:t>
            </w:r>
            <w:r>
              <w:rPr>
                <w:sz w:val="24"/>
                <w:u w:val="single"/>
              </w:rPr>
              <w:t>01</w:t>
            </w:r>
            <w:r>
              <w:rPr>
                <w:sz w:val="24"/>
              </w:rPr>
              <w:t xml:space="preserve"> 月</w:t>
            </w:r>
            <w:r>
              <w:rPr>
                <w:sz w:val="24"/>
                <w:u w:val="single"/>
              </w:rPr>
              <w:t xml:space="preserve"> 01 </w:t>
            </w:r>
            <w:r>
              <w:rPr>
                <w:sz w:val="24"/>
              </w:rPr>
              <w:t>日以来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ind w:left="331" w:right="324"/>
              <w:jc w:val="center"/>
              <w:rPr>
                <w:sz w:val="24"/>
                <w:lang w:val="en-US"/>
              </w:rPr>
            </w:pPr>
            <w:r>
              <w:rPr>
                <w:sz w:val="24"/>
              </w:rPr>
              <w:t>2</w:t>
            </w:r>
            <w:r>
              <w:rPr>
                <w:rFonts w:hint="eastAsia"/>
                <w:sz w:val="24"/>
                <w:lang w:val="en-US"/>
              </w:rPr>
              <w:t>6</w:t>
            </w:r>
          </w:p>
        </w:tc>
        <w:tc>
          <w:tcPr>
            <w:tcW w:w="2010" w:type="dxa"/>
            <w:vAlign w:val="center"/>
          </w:tcPr>
          <w:p>
            <w:pPr>
              <w:pStyle w:val="27"/>
              <w:spacing w:before="112"/>
              <w:ind w:left="123" w:right="123"/>
              <w:jc w:val="center"/>
              <w:rPr>
                <w:sz w:val="24"/>
              </w:rPr>
            </w:pPr>
            <w:r>
              <w:rPr>
                <w:sz w:val="24"/>
              </w:rPr>
              <w:t>是否允许递交备</w:t>
            </w:r>
          </w:p>
          <w:p>
            <w:pPr>
              <w:pStyle w:val="27"/>
              <w:spacing w:before="134" w:line="306" w:lineRule="exact"/>
              <w:ind w:left="140" w:right="140"/>
              <w:jc w:val="center"/>
              <w:rPr>
                <w:sz w:val="24"/>
              </w:rPr>
            </w:pPr>
            <w:r>
              <w:rPr>
                <w:sz w:val="24"/>
              </w:rPr>
              <w:t>选投标方案</w:t>
            </w:r>
          </w:p>
        </w:tc>
        <w:tc>
          <w:tcPr>
            <w:tcW w:w="6011" w:type="dxa"/>
            <w:vAlign w:val="center"/>
          </w:tcPr>
          <w:p>
            <w:pPr>
              <w:pStyle w:val="27"/>
              <w:jc w:val="center"/>
              <w:rPr>
                <w:b/>
                <w:sz w:val="24"/>
              </w:rPr>
            </w:pPr>
            <w:r>
              <w:rPr>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5" w:type="dxa"/>
            <w:vAlign w:val="center"/>
          </w:tcPr>
          <w:p>
            <w:pPr>
              <w:pStyle w:val="27"/>
              <w:ind w:right="324"/>
              <w:jc w:val="center"/>
              <w:rPr>
                <w:sz w:val="24"/>
                <w:lang w:val="en-US"/>
              </w:rPr>
            </w:pPr>
            <w:r>
              <w:rPr>
                <w:rFonts w:hint="eastAsia"/>
                <w:sz w:val="24"/>
                <w:lang w:val="en-US"/>
              </w:rPr>
              <w:t xml:space="preserve">  </w:t>
            </w:r>
            <w:r>
              <w:rPr>
                <w:sz w:val="24"/>
              </w:rPr>
              <w:t>2</w:t>
            </w:r>
            <w:r>
              <w:rPr>
                <w:rFonts w:hint="eastAsia"/>
                <w:sz w:val="24"/>
                <w:lang w:val="en-US"/>
              </w:rPr>
              <w:t>7</w:t>
            </w:r>
          </w:p>
        </w:tc>
        <w:tc>
          <w:tcPr>
            <w:tcW w:w="2010" w:type="dxa"/>
            <w:vAlign w:val="center"/>
          </w:tcPr>
          <w:p>
            <w:pPr>
              <w:pStyle w:val="27"/>
              <w:ind w:left="123" w:right="123"/>
              <w:jc w:val="center"/>
              <w:rPr>
                <w:sz w:val="24"/>
              </w:rPr>
            </w:pPr>
            <w:r>
              <w:rPr>
                <w:sz w:val="24"/>
              </w:rPr>
              <w:t>签字或盖章要求</w:t>
            </w:r>
          </w:p>
        </w:tc>
        <w:tc>
          <w:tcPr>
            <w:tcW w:w="6011" w:type="dxa"/>
            <w:vAlign w:val="center"/>
          </w:tcPr>
          <w:p>
            <w:pPr>
              <w:pStyle w:val="27"/>
              <w:spacing w:before="2" w:line="360" w:lineRule="auto"/>
              <w:ind w:left="104"/>
              <w:jc w:val="both"/>
              <w:rPr>
                <w:b/>
                <w:sz w:val="24"/>
              </w:rPr>
            </w:pPr>
            <w:r>
              <w:rPr>
                <w:sz w:val="24"/>
              </w:rPr>
              <w:t>投标文件格式中规定需加盖电子签章的页面要求</w:t>
            </w:r>
            <w:r>
              <w:rPr>
                <w:rFonts w:hint="eastAsia"/>
                <w:sz w:val="24"/>
              </w:rPr>
              <w:t>，</w:t>
            </w:r>
            <w:r>
              <w:rPr>
                <w:sz w:val="24"/>
              </w:rPr>
              <w:t>投标人须加盖投标人电子公章或法定代表人电子签章或被授权人电子签名</w:t>
            </w: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spacing w:before="1"/>
              <w:ind w:left="331" w:right="324"/>
              <w:jc w:val="center"/>
              <w:rPr>
                <w:sz w:val="24"/>
                <w:lang w:val="en-US"/>
              </w:rPr>
            </w:pPr>
            <w:r>
              <w:rPr>
                <w:sz w:val="24"/>
              </w:rPr>
              <w:t>2</w:t>
            </w:r>
            <w:r>
              <w:rPr>
                <w:rFonts w:hint="eastAsia"/>
                <w:sz w:val="24"/>
                <w:lang w:val="en-US"/>
              </w:rPr>
              <w:t>8</w:t>
            </w:r>
          </w:p>
        </w:tc>
        <w:tc>
          <w:tcPr>
            <w:tcW w:w="2010" w:type="dxa"/>
            <w:vAlign w:val="center"/>
          </w:tcPr>
          <w:p>
            <w:pPr>
              <w:pStyle w:val="27"/>
              <w:spacing w:before="1"/>
              <w:ind w:left="140" w:right="140"/>
              <w:jc w:val="center"/>
              <w:rPr>
                <w:sz w:val="24"/>
              </w:rPr>
            </w:pPr>
            <w:r>
              <w:rPr>
                <w:sz w:val="24"/>
              </w:rPr>
              <w:t>投标文件份数</w:t>
            </w:r>
          </w:p>
        </w:tc>
        <w:tc>
          <w:tcPr>
            <w:tcW w:w="6011" w:type="dxa"/>
            <w:vAlign w:val="center"/>
          </w:tcPr>
          <w:p>
            <w:pPr>
              <w:pStyle w:val="27"/>
              <w:tabs>
                <w:tab w:val="left" w:pos="720"/>
              </w:tabs>
              <w:spacing w:before="129" w:line="360" w:lineRule="auto"/>
              <w:ind w:right="93"/>
              <w:jc w:val="both"/>
              <w:rPr>
                <w:sz w:val="24"/>
              </w:rPr>
            </w:pPr>
            <w:r>
              <w:rPr>
                <w:rFonts w:hint="eastAsia"/>
                <w:spacing w:val="3"/>
                <w:sz w:val="24"/>
              </w:rPr>
              <w:t>（</w:t>
            </w:r>
            <w:r>
              <w:rPr>
                <w:rFonts w:hint="eastAsia"/>
                <w:spacing w:val="3"/>
                <w:sz w:val="24"/>
                <w:lang w:val="en-US"/>
              </w:rPr>
              <w:t>1</w:t>
            </w:r>
            <w:r>
              <w:rPr>
                <w:rFonts w:hint="eastAsia"/>
                <w:spacing w:val="3"/>
                <w:sz w:val="24"/>
              </w:rPr>
              <w:t>）</w:t>
            </w:r>
            <w:r>
              <w:rPr>
                <w:spacing w:val="3"/>
                <w:sz w:val="24"/>
              </w:rPr>
              <w:t>加密电子投标文件一份</w:t>
            </w:r>
            <w:r>
              <w:rPr>
                <w:spacing w:val="4"/>
                <w:sz w:val="24"/>
              </w:rPr>
              <w:t>（</w:t>
            </w:r>
            <w:r>
              <w:rPr>
                <w:spacing w:val="3"/>
                <w:sz w:val="24"/>
              </w:rPr>
              <w:t>在南阳市公共资源交易系统指</w:t>
            </w:r>
            <w:r>
              <w:rPr>
                <w:sz w:val="24"/>
              </w:rPr>
              <w:t>定位置上传）</w:t>
            </w:r>
          </w:p>
          <w:p>
            <w:pPr>
              <w:pStyle w:val="27"/>
              <w:tabs>
                <w:tab w:val="left" w:pos="720"/>
              </w:tabs>
              <w:spacing w:before="1" w:line="360" w:lineRule="auto"/>
              <w:jc w:val="both"/>
              <w:rPr>
                <w:sz w:val="24"/>
              </w:rPr>
            </w:pPr>
            <w:r>
              <w:rPr>
                <w:rFonts w:hint="eastAsia"/>
                <w:spacing w:val="2"/>
                <w:sz w:val="24"/>
              </w:rPr>
              <w:t>（</w:t>
            </w:r>
            <w:r>
              <w:rPr>
                <w:rFonts w:hint="eastAsia"/>
                <w:spacing w:val="2"/>
                <w:sz w:val="24"/>
                <w:lang w:val="en-US"/>
              </w:rPr>
              <w:t>2</w:t>
            </w:r>
            <w:r>
              <w:rPr>
                <w:rFonts w:hint="eastAsia"/>
                <w:spacing w:val="2"/>
                <w:sz w:val="24"/>
              </w:rPr>
              <w:t>）</w:t>
            </w:r>
            <w:r>
              <w:rPr>
                <w:spacing w:val="2"/>
                <w:sz w:val="24"/>
              </w:rPr>
              <w:t>潜在投标人中标后，如采购人需要，须按采购人要求提</w:t>
            </w:r>
            <w:r>
              <w:rPr>
                <w:sz w:val="24"/>
              </w:rPr>
              <w:t>供相应份数纸质版投标文件（须为加盖电子签章后生成的 pdf 投标文件，封面须加盖单位公章）。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spacing w:before="203"/>
              <w:ind w:left="331" w:right="324"/>
              <w:jc w:val="center"/>
              <w:rPr>
                <w:sz w:val="24"/>
                <w:lang w:val="en-US"/>
              </w:rPr>
            </w:pPr>
            <w:r>
              <w:rPr>
                <w:rFonts w:hint="eastAsia"/>
                <w:sz w:val="24"/>
                <w:lang w:val="en-US"/>
              </w:rPr>
              <w:t>29</w:t>
            </w:r>
          </w:p>
        </w:tc>
        <w:tc>
          <w:tcPr>
            <w:tcW w:w="2010" w:type="dxa"/>
            <w:vAlign w:val="center"/>
          </w:tcPr>
          <w:p>
            <w:pPr>
              <w:pStyle w:val="27"/>
              <w:spacing w:line="345" w:lineRule="auto"/>
              <w:ind w:left="104" w:right="103"/>
              <w:jc w:val="center"/>
              <w:rPr>
                <w:sz w:val="24"/>
              </w:rPr>
            </w:pPr>
            <w:r>
              <w:rPr>
                <w:sz w:val="24"/>
              </w:rPr>
              <w:t>电子投标文件递交</w:t>
            </w:r>
          </w:p>
        </w:tc>
        <w:tc>
          <w:tcPr>
            <w:tcW w:w="6011" w:type="dxa"/>
            <w:vAlign w:val="center"/>
          </w:tcPr>
          <w:p>
            <w:pPr>
              <w:pStyle w:val="27"/>
              <w:spacing w:before="129"/>
              <w:ind w:left="104"/>
              <w:jc w:val="both"/>
              <w:rPr>
                <w:sz w:val="24"/>
              </w:rPr>
            </w:pPr>
            <w:r>
              <w:rPr>
                <w:sz w:val="24"/>
              </w:rPr>
              <w:t>电子投标文件递交：</w:t>
            </w:r>
          </w:p>
          <w:p>
            <w:pPr>
              <w:pStyle w:val="27"/>
              <w:spacing w:before="132"/>
              <w:ind w:left="104"/>
              <w:jc w:val="both"/>
              <w:rPr>
                <w:sz w:val="24"/>
              </w:rPr>
            </w:pPr>
            <w:r>
              <w:fldChar w:fldCharType="begin"/>
            </w:r>
            <w:r>
              <w:instrText xml:space="preserve"> HYPERLINK "http://www.nyggzyjy.cn/" \h </w:instrText>
            </w:r>
            <w:r>
              <w:fldChar w:fldCharType="separate"/>
            </w:r>
            <w:r>
              <w:rPr>
                <w:sz w:val="24"/>
              </w:rPr>
              <w:t>1、递交网址：http://www.nyggzyjy.cn</w:t>
            </w:r>
            <w:r>
              <w:rPr>
                <w:sz w:val="24"/>
              </w:rPr>
              <w:fldChar w:fldCharType="end"/>
            </w:r>
            <w:r>
              <w:rPr>
                <w:sz w:val="24"/>
              </w:rPr>
              <w:t>。</w:t>
            </w:r>
          </w:p>
          <w:p>
            <w:pPr>
              <w:pStyle w:val="27"/>
              <w:spacing w:before="134" w:line="343" w:lineRule="auto"/>
              <w:ind w:left="104" w:right="98"/>
              <w:jc w:val="both"/>
              <w:rPr>
                <w:sz w:val="24"/>
              </w:rPr>
            </w:pPr>
            <w:r>
              <w:rPr>
                <w:sz w:val="24"/>
              </w:rPr>
              <w:t>2、投标人的电子投标文件应在招标文件规定的投标截止时间前到达交易系统。逾期到达交易系统的电子投标文件视为放弃本次投标。</w:t>
            </w:r>
          </w:p>
          <w:p>
            <w:pPr>
              <w:pStyle w:val="27"/>
              <w:spacing w:before="1"/>
              <w:ind w:left="104"/>
              <w:jc w:val="both"/>
              <w:rPr>
                <w:sz w:val="24"/>
              </w:rPr>
            </w:pPr>
            <w:r>
              <w:rPr>
                <w:sz w:val="24"/>
              </w:rPr>
              <w:t>3、投标人所递交的电子投标文件在投标截止时间之后不予退回。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ind w:left="331" w:right="324"/>
              <w:jc w:val="center"/>
              <w:rPr>
                <w:sz w:val="24"/>
                <w:lang w:val="en-US"/>
              </w:rPr>
            </w:pPr>
            <w:r>
              <w:rPr>
                <w:sz w:val="24"/>
              </w:rPr>
              <w:t>3</w:t>
            </w:r>
            <w:r>
              <w:rPr>
                <w:rFonts w:hint="eastAsia"/>
                <w:sz w:val="24"/>
                <w:lang w:val="en-US"/>
              </w:rPr>
              <w:t>0</w:t>
            </w:r>
          </w:p>
        </w:tc>
        <w:tc>
          <w:tcPr>
            <w:tcW w:w="2010" w:type="dxa"/>
            <w:vAlign w:val="center"/>
          </w:tcPr>
          <w:p>
            <w:pPr>
              <w:pStyle w:val="27"/>
              <w:spacing w:before="112"/>
              <w:ind w:left="123" w:right="123"/>
              <w:jc w:val="center"/>
              <w:rPr>
                <w:sz w:val="24"/>
              </w:rPr>
            </w:pPr>
            <w:r>
              <w:rPr>
                <w:sz w:val="24"/>
              </w:rPr>
              <w:t>递交投标文件地</w:t>
            </w:r>
          </w:p>
          <w:p>
            <w:pPr>
              <w:pStyle w:val="27"/>
              <w:spacing w:before="134" w:line="307" w:lineRule="exact"/>
              <w:jc w:val="center"/>
              <w:rPr>
                <w:sz w:val="24"/>
              </w:rPr>
            </w:pPr>
            <w:r>
              <w:rPr>
                <w:sz w:val="24"/>
              </w:rPr>
              <w:t>点</w:t>
            </w:r>
          </w:p>
        </w:tc>
        <w:tc>
          <w:tcPr>
            <w:tcW w:w="6011" w:type="dxa"/>
            <w:vAlign w:val="center"/>
          </w:tcPr>
          <w:p>
            <w:pPr>
              <w:pStyle w:val="27"/>
              <w:jc w:val="center"/>
              <w:rPr>
                <w:sz w:val="24"/>
              </w:rPr>
            </w:pPr>
            <w:r>
              <w:rPr>
                <w:sz w:val="24"/>
              </w:rPr>
              <w:t>本项目不见面开标，不适用。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spacing w:before="161"/>
              <w:ind w:left="331" w:right="324"/>
              <w:jc w:val="center"/>
              <w:rPr>
                <w:sz w:val="24"/>
                <w:lang w:val="en-US"/>
              </w:rPr>
            </w:pPr>
            <w:r>
              <w:rPr>
                <w:sz w:val="24"/>
              </w:rPr>
              <w:t>3</w:t>
            </w:r>
            <w:r>
              <w:rPr>
                <w:rFonts w:hint="eastAsia"/>
                <w:sz w:val="24"/>
                <w:lang w:val="en-US"/>
              </w:rPr>
              <w:t>1</w:t>
            </w:r>
          </w:p>
        </w:tc>
        <w:tc>
          <w:tcPr>
            <w:tcW w:w="2010" w:type="dxa"/>
            <w:vAlign w:val="center"/>
          </w:tcPr>
          <w:p>
            <w:pPr>
              <w:pStyle w:val="27"/>
              <w:spacing w:before="161"/>
              <w:ind w:left="123" w:right="123"/>
              <w:jc w:val="center"/>
              <w:rPr>
                <w:sz w:val="24"/>
              </w:rPr>
            </w:pPr>
            <w:r>
              <w:rPr>
                <w:sz w:val="24"/>
              </w:rPr>
              <w:t>开标时间和地点</w:t>
            </w:r>
          </w:p>
        </w:tc>
        <w:tc>
          <w:tcPr>
            <w:tcW w:w="6011" w:type="dxa"/>
            <w:vAlign w:val="center"/>
          </w:tcPr>
          <w:p>
            <w:pPr>
              <w:pStyle w:val="27"/>
              <w:spacing w:before="112"/>
              <w:ind w:left="104"/>
              <w:jc w:val="both"/>
              <w:rPr>
                <w:sz w:val="24"/>
              </w:rPr>
            </w:pPr>
            <w:r>
              <w:rPr>
                <w:sz w:val="24"/>
              </w:rPr>
              <w:t>开标时间：同投标截止时间</w:t>
            </w:r>
          </w:p>
          <w:p>
            <w:pPr>
              <w:pStyle w:val="27"/>
              <w:spacing w:before="134" w:line="343" w:lineRule="auto"/>
              <w:ind w:left="104" w:right="88"/>
              <w:jc w:val="both"/>
              <w:rPr>
                <w:sz w:val="24"/>
              </w:rPr>
            </w:pPr>
            <w:r>
              <w:rPr>
                <w:sz w:val="24"/>
              </w:rPr>
              <w:t>开标地点: 电子投标文件应在招标文件规定的投标截止时间前到达交易系统。逾期到达交易系统的电子投标文件视为放弃本次投标。</w:t>
            </w:r>
          </w:p>
          <w:p>
            <w:pPr>
              <w:pStyle w:val="27"/>
              <w:spacing w:before="1" w:line="343" w:lineRule="auto"/>
              <w:ind w:left="104" w:right="88"/>
              <w:jc w:val="both"/>
              <w:rPr>
                <w:sz w:val="24"/>
              </w:rPr>
            </w:pPr>
            <w:r>
              <w:rPr>
                <w:sz w:val="24"/>
              </w:rPr>
              <w:t>本项目采用“远程不见面”开标方式,投标人无需到现场提交原件资料、无需到南阳市公共资源交易中心现场参加开标会议；投标人应当在开标截止时间前,用数字证书登录南阳市公共资源交易中心并进入“不见面开标大厅”等候开标</w:t>
            </w:r>
            <w:r>
              <w:rPr>
                <w:rFonts w:hint="eastAsia"/>
                <w:sz w:val="24"/>
              </w:rPr>
              <w:t>，</w:t>
            </w:r>
            <w:r>
              <w:rPr>
                <w:sz w:val="24"/>
              </w:rPr>
              <w:t>在线准时参加开标活动并进行投标文件解密、答疑澄清等。（本次项目解密时长为30分钟，错过解密时长者视为自动放弃本次投标。）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trPr>
        <w:tc>
          <w:tcPr>
            <w:tcW w:w="1065" w:type="dxa"/>
            <w:vAlign w:val="center"/>
          </w:tcPr>
          <w:p>
            <w:pPr>
              <w:pStyle w:val="27"/>
              <w:spacing w:before="1"/>
              <w:ind w:left="331" w:right="324"/>
              <w:jc w:val="center"/>
              <w:rPr>
                <w:sz w:val="24"/>
                <w:lang w:val="en-US"/>
              </w:rPr>
            </w:pPr>
            <w:r>
              <w:rPr>
                <w:sz w:val="24"/>
              </w:rPr>
              <w:t>3</w:t>
            </w:r>
            <w:r>
              <w:rPr>
                <w:rFonts w:hint="eastAsia"/>
                <w:sz w:val="24"/>
                <w:lang w:val="en-US"/>
              </w:rPr>
              <w:t>2</w:t>
            </w:r>
          </w:p>
        </w:tc>
        <w:tc>
          <w:tcPr>
            <w:tcW w:w="2010" w:type="dxa"/>
            <w:vAlign w:val="center"/>
          </w:tcPr>
          <w:p>
            <w:pPr>
              <w:pStyle w:val="27"/>
              <w:spacing w:before="1"/>
              <w:ind w:left="140" w:right="140"/>
              <w:jc w:val="center"/>
              <w:rPr>
                <w:sz w:val="24"/>
              </w:rPr>
            </w:pPr>
            <w:r>
              <w:rPr>
                <w:sz w:val="24"/>
              </w:rPr>
              <w:t>开标程序</w:t>
            </w:r>
          </w:p>
        </w:tc>
        <w:tc>
          <w:tcPr>
            <w:tcW w:w="6011" w:type="dxa"/>
            <w:vAlign w:val="center"/>
          </w:tcPr>
          <w:p>
            <w:pPr>
              <w:pStyle w:val="27"/>
              <w:spacing w:before="112" w:line="343" w:lineRule="auto"/>
              <w:ind w:left="104" w:right="217"/>
              <w:jc w:val="both"/>
              <w:rPr>
                <w:sz w:val="24"/>
              </w:rPr>
            </w:pPr>
            <w:r>
              <w:rPr>
                <w:sz w:val="24"/>
              </w:rPr>
              <w:t>1、投标人代表持本单位CA数字证书提前一小时登录不见面开标系统并在线签到。</w:t>
            </w:r>
          </w:p>
          <w:p>
            <w:pPr>
              <w:pStyle w:val="27"/>
              <w:spacing w:before="2" w:line="360" w:lineRule="auto"/>
              <w:ind w:left="104"/>
              <w:jc w:val="both"/>
              <w:rPr>
                <w:sz w:val="24"/>
              </w:rPr>
            </w:pPr>
            <w:r>
              <w:rPr>
                <w:sz w:val="24"/>
              </w:rPr>
              <w:t>2、开标时间到</w:t>
            </w:r>
            <w:r>
              <w:rPr>
                <w:rFonts w:hint="eastAsia"/>
                <w:sz w:val="24"/>
              </w:rPr>
              <w:t>，</w:t>
            </w:r>
            <w:r>
              <w:rPr>
                <w:sz w:val="24"/>
              </w:rPr>
              <w:t>在线公布投标人、采购人代表、监标人等有</w:t>
            </w:r>
            <w:r>
              <w:rPr>
                <w:rFonts w:hint="eastAsia"/>
                <w:sz w:val="24"/>
              </w:rPr>
              <w:t>关名单。</w:t>
            </w:r>
          </w:p>
          <w:p>
            <w:pPr>
              <w:pStyle w:val="27"/>
              <w:spacing w:before="2" w:line="360" w:lineRule="auto"/>
              <w:ind w:left="104"/>
              <w:jc w:val="both"/>
              <w:rPr>
                <w:sz w:val="24"/>
              </w:rPr>
            </w:pPr>
            <w:r>
              <w:rPr>
                <w:rFonts w:hint="eastAsia"/>
                <w:sz w:val="24"/>
              </w:rPr>
              <w:t>3、开标顺序：</w:t>
            </w:r>
          </w:p>
          <w:p>
            <w:pPr>
              <w:pStyle w:val="27"/>
              <w:spacing w:before="2" w:line="360" w:lineRule="auto"/>
              <w:ind w:left="104"/>
              <w:jc w:val="both"/>
              <w:rPr>
                <w:sz w:val="24"/>
              </w:rPr>
            </w:pPr>
            <w:r>
              <w:rPr>
                <w:rFonts w:hint="eastAsia"/>
                <w:sz w:val="24"/>
              </w:rPr>
              <w:t>①投标人解密：投标企业制作电子响应文件时，必须使用本单位企业数字证书进行加密，投标企业在开标前须自行检查数字证书有效性。在解密时间到达后，系统做出解密提示，请各投标人自行解密即可。开标解密时未解密成功的视为撤销其响应文件（因电子开标系统原因除外）。</w:t>
            </w:r>
          </w:p>
          <w:p>
            <w:pPr>
              <w:pStyle w:val="27"/>
              <w:spacing w:before="2" w:line="360" w:lineRule="auto"/>
              <w:ind w:left="104"/>
              <w:jc w:val="both"/>
              <w:rPr>
                <w:sz w:val="24"/>
              </w:rPr>
            </w:pPr>
            <w:r>
              <w:rPr>
                <w:rFonts w:hint="eastAsia"/>
                <w:sz w:val="24"/>
              </w:rPr>
              <w:t>②采购人解密。采购人持有本单位 CA 数字证书进行二次解密。</w:t>
            </w:r>
          </w:p>
          <w:p>
            <w:pPr>
              <w:pStyle w:val="27"/>
              <w:spacing w:before="2" w:line="360" w:lineRule="auto"/>
              <w:ind w:left="104"/>
              <w:jc w:val="both"/>
              <w:rPr>
                <w:sz w:val="24"/>
              </w:rPr>
            </w:pPr>
            <w:r>
              <w:rPr>
                <w:rFonts w:hint="eastAsia"/>
                <w:sz w:val="24"/>
              </w:rPr>
              <w:t>③唱标。查看唱标信息（系统不提供语音在线播放，该页面停留5分钟供投标人查看，如无异议视为同意）。采购人、监督人需要关注开标过程中，投标人随时在线提出的异议、问题沟通等信息，并做好及时回复。</w:t>
            </w:r>
          </w:p>
          <w:p>
            <w:pPr>
              <w:pStyle w:val="27"/>
              <w:spacing w:before="2" w:line="360" w:lineRule="auto"/>
              <w:ind w:left="104"/>
              <w:jc w:val="both"/>
              <w:rPr>
                <w:sz w:val="24"/>
              </w:rPr>
            </w:pPr>
            <w:r>
              <w:rPr>
                <w:rFonts w:hint="eastAsia"/>
                <w:sz w:val="24"/>
              </w:rPr>
              <w:t>⑤采购人、监督人等相关人员在开标记录表上（可进入原评标系统直接打印）签字确认。</w:t>
            </w:r>
          </w:p>
          <w:p>
            <w:pPr>
              <w:pStyle w:val="27"/>
              <w:spacing w:before="2" w:line="360" w:lineRule="auto"/>
              <w:ind w:left="104"/>
              <w:jc w:val="both"/>
              <w:rPr>
                <w:sz w:val="24"/>
              </w:rPr>
            </w:pPr>
            <w:r>
              <w:rPr>
                <w:rFonts w:hint="eastAsia"/>
                <w:sz w:val="24"/>
              </w:rPr>
              <w:t>⑥招标代理机构在开标结束后将招标文件和有效电子响应文件导入评标系统。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065" w:type="dxa"/>
            <w:vAlign w:val="center"/>
          </w:tcPr>
          <w:p>
            <w:pPr>
              <w:pStyle w:val="27"/>
              <w:spacing w:before="157"/>
              <w:ind w:left="331" w:right="324"/>
              <w:jc w:val="center"/>
              <w:rPr>
                <w:b/>
                <w:bCs/>
                <w:sz w:val="24"/>
                <w:lang w:val="en-US"/>
              </w:rPr>
            </w:pPr>
            <w:r>
              <w:rPr>
                <w:sz w:val="24"/>
              </w:rPr>
              <w:t>3</w:t>
            </w:r>
            <w:r>
              <w:rPr>
                <w:rFonts w:hint="eastAsia"/>
                <w:sz w:val="24"/>
                <w:lang w:val="en-US"/>
              </w:rPr>
              <w:t>3</w:t>
            </w:r>
          </w:p>
        </w:tc>
        <w:tc>
          <w:tcPr>
            <w:tcW w:w="2010" w:type="dxa"/>
            <w:vAlign w:val="center"/>
          </w:tcPr>
          <w:p>
            <w:pPr>
              <w:pStyle w:val="27"/>
              <w:jc w:val="center"/>
              <w:rPr>
                <w:b/>
                <w:sz w:val="24"/>
              </w:rPr>
            </w:pPr>
          </w:p>
          <w:p>
            <w:pPr>
              <w:pStyle w:val="27"/>
              <w:jc w:val="center"/>
              <w:rPr>
                <w:b/>
                <w:sz w:val="19"/>
              </w:rPr>
            </w:pPr>
          </w:p>
          <w:p>
            <w:pPr>
              <w:pStyle w:val="27"/>
              <w:spacing w:before="1" w:line="343" w:lineRule="auto"/>
              <w:ind w:left="863" w:right="140" w:hanging="720"/>
              <w:rPr>
                <w:b/>
                <w:bCs/>
                <w:sz w:val="24"/>
              </w:rPr>
            </w:pPr>
            <w:r>
              <w:rPr>
                <w:sz w:val="24"/>
              </w:rPr>
              <w:t>评标委员会的组建</w:t>
            </w:r>
          </w:p>
        </w:tc>
        <w:tc>
          <w:tcPr>
            <w:tcW w:w="6011" w:type="dxa"/>
            <w:vAlign w:val="center"/>
          </w:tcPr>
          <w:p>
            <w:pPr>
              <w:pStyle w:val="27"/>
              <w:spacing w:before="112" w:line="343" w:lineRule="auto"/>
              <w:ind w:left="145" w:right="97" w:hanging="41"/>
              <w:jc w:val="both"/>
              <w:rPr>
                <w:sz w:val="24"/>
              </w:rPr>
            </w:pPr>
            <w:r>
              <w:rPr>
                <w:b/>
                <w:spacing w:val="-2"/>
                <w:sz w:val="24"/>
              </w:rPr>
              <w:t>评标委员会构成：</w:t>
            </w:r>
            <w:r>
              <w:rPr>
                <w:spacing w:val="-31"/>
                <w:sz w:val="24"/>
              </w:rPr>
              <w:t>共</w:t>
            </w:r>
            <w:r>
              <w:rPr>
                <w:rFonts w:hint="eastAsia"/>
                <w:spacing w:val="-31"/>
                <w:sz w:val="24"/>
                <w:lang w:val="en-US"/>
              </w:rPr>
              <w:t>7</w:t>
            </w:r>
            <w:r>
              <w:rPr>
                <w:spacing w:val="-16"/>
                <w:sz w:val="24"/>
              </w:rPr>
              <w:t>人，其中业主评委</w:t>
            </w:r>
            <w:r>
              <w:rPr>
                <w:rFonts w:hint="eastAsia"/>
                <w:spacing w:val="-16"/>
                <w:sz w:val="24"/>
                <w:lang w:val="en-US"/>
              </w:rPr>
              <w:t>2</w:t>
            </w:r>
            <w:r>
              <w:rPr>
                <w:spacing w:val="-14"/>
                <w:sz w:val="24"/>
              </w:rPr>
              <w:t>人，专家</w:t>
            </w:r>
            <w:r>
              <w:rPr>
                <w:rFonts w:hint="eastAsia"/>
                <w:spacing w:val="-14"/>
                <w:sz w:val="24"/>
                <w:lang w:val="en-US"/>
              </w:rPr>
              <w:t>5</w:t>
            </w:r>
            <w:r>
              <w:rPr>
                <w:spacing w:val="-39"/>
                <w:sz w:val="24"/>
              </w:rPr>
              <w:t>人</w:t>
            </w:r>
            <w:r>
              <w:rPr>
                <w:sz w:val="24"/>
              </w:rPr>
              <w:t>（</w:t>
            </w:r>
            <w:r>
              <w:rPr>
                <w:spacing w:val="-14"/>
                <w:sz w:val="24"/>
              </w:rPr>
              <w:t>有</w:t>
            </w:r>
            <w:r>
              <w:rPr>
                <w:sz w:val="24"/>
              </w:rPr>
              <w:t>关技术、经济等方面的专家）；</w:t>
            </w:r>
          </w:p>
          <w:p>
            <w:pPr>
              <w:pStyle w:val="27"/>
              <w:spacing w:line="360" w:lineRule="auto"/>
              <w:ind w:left="104"/>
              <w:jc w:val="both"/>
              <w:rPr>
                <w:b/>
                <w:bCs/>
                <w:sz w:val="24"/>
              </w:rPr>
            </w:pPr>
            <w:r>
              <w:rPr>
                <w:b/>
                <w:sz w:val="24"/>
              </w:rPr>
              <w:t>评标专家确定方式：</w:t>
            </w:r>
            <w:r>
              <w:rPr>
                <w:sz w:val="24"/>
              </w:rPr>
              <w:t>由采购人在开标前从相关评标专家库中随机抽取。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1065" w:type="dxa"/>
            <w:vAlign w:val="center"/>
          </w:tcPr>
          <w:p>
            <w:pPr>
              <w:pStyle w:val="27"/>
              <w:ind w:left="331" w:right="324"/>
              <w:jc w:val="center"/>
              <w:rPr>
                <w:b/>
                <w:bCs/>
                <w:sz w:val="24"/>
                <w:lang w:val="en-US"/>
              </w:rPr>
            </w:pPr>
            <w:r>
              <w:rPr>
                <w:sz w:val="24"/>
              </w:rPr>
              <w:t>3</w:t>
            </w:r>
            <w:r>
              <w:rPr>
                <w:rFonts w:hint="eastAsia"/>
                <w:sz w:val="24"/>
                <w:lang w:val="en-US"/>
              </w:rPr>
              <w:t>4</w:t>
            </w:r>
          </w:p>
        </w:tc>
        <w:tc>
          <w:tcPr>
            <w:tcW w:w="2010" w:type="dxa"/>
            <w:vAlign w:val="center"/>
          </w:tcPr>
          <w:p>
            <w:pPr>
              <w:pStyle w:val="27"/>
              <w:spacing w:before="47" w:line="440" w:lineRule="atLeast"/>
              <w:ind w:left="143" w:right="140"/>
              <w:jc w:val="center"/>
              <w:rPr>
                <w:b/>
                <w:bCs/>
                <w:sz w:val="24"/>
              </w:rPr>
            </w:pPr>
            <w:r>
              <w:rPr>
                <w:sz w:val="24"/>
              </w:rPr>
              <w:t>是否授权评标委员会确定中标人</w:t>
            </w:r>
          </w:p>
        </w:tc>
        <w:tc>
          <w:tcPr>
            <w:tcW w:w="6011" w:type="dxa"/>
            <w:vAlign w:val="center"/>
          </w:tcPr>
          <w:p>
            <w:pPr>
              <w:pStyle w:val="27"/>
              <w:jc w:val="center"/>
              <w:rPr>
                <w:b/>
                <w:bCs/>
                <w:sz w:val="24"/>
              </w:rPr>
            </w:pPr>
            <w:r>
              <w:rPr>
                <w:sz w:val="24"/>
              </w:rPr>
              <w:t>否，推荐的中标候选人数：</w:t>
            </w:r>
            <w:r>
              <w:rPr>
                <w:sz w:val="24"/>
                <w:u w:val="single"/>
              </w:rPr>
              <w:t>1-3</w:t>
            </w:r>
            <w:r>
              <w:rPr>
                <w:sz w:val="24"/>
              </w:rPr>
              <w:t xml:space="preserve">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jc w:val="center"/>
              <w:rPr>
                <w:b/>
                <w:bCs/>
                <w:sz w:val="24"/>
              </w:rPr>
            </w:pPr>
          </w:p>
        </w:tc>
        <w:tc>
          <w:tcPr>
            <w:tcW w:w="8021" w:type="dxa"/>
            <w:gridSpan w:val="2"/>
            <w:vAlign w:val="center"/>
          </w:tcPr>
          <w:p>
            <w:pPr>
              <w:pStyle w:val="27"/>
              <w:spacing w:before="115" w:line="306" w:lineRule="exact"/>
              <w:ind w:right="3229" w:firstLine="2400" w:firstLineChars="1000"/>
              <w:jc w:val="both"/>
              <w:rPr>
                <w:b/>
                <w:bCs/>
                <w:sz w:val="24"/>
              </w:rPr>
            </w:pPr>
            <w:r>
              <w:rPr>
                <w:sz w:val="24"/>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jc w:val="center"/>
              <w:rPr>
                <w:sz w:val="24"/>
                <w:lang w:val="en-US"/>
              </w:rPr>
            </w:pPr>
            <w:r>
              <w:rPr>
                <w:rFonts w:hint="eastAsia"/>
                <w:sz w:val="24"/>
                <w:lang w:val="en-US"/>
              </w:rPr>
              <w:t>35</w:t>
            </w:r>
          </w:p>
        </w:tc>
        <w:tc>
          <w:tcPr>
            <w:tcW w:w="2010" w:type="dxa"/>
            <w:tcBorders>
              <w:right w:val="single" w:color="auto" w:sz="4" w:space="0"/>
            </w:tcBorders>
            <w:vAlign w:val="center"/>
          </w:tcPr>
          <w:p>
            <w:pPr>
              <w:pStyle w:val="27"/>
              <w:spacing w:before="47" w:line="440" w:lineRule="atLeast"/>
              <w:ind w:right="140"/>
              <w:jc w:val="center"/>
              <w:rPr>
                <w:sz w:val="24"/>
              </w:rPr>
            </w:pPr>
            <w:r>
              <w:rPr>
                <w:rFonts w:hint="eastAsia"/>
                <w:sz w:val="24"/>
                <w:lang w:val="en-US"/>
              </w:rPr>
              <w:t>招标控制价</w:t>
            </w:r>
          </w:p>
        </w:tc>
        <w:tc>
          <w:tcPr>
            <w:tcW w:w="6011" w:type="dxa"/>
            <w:tcBorders>
              <w:left w:val="single" w:color="auto" w:sz="4" w:space="0"/>
            </w:tcBorders>
            <w:vAlign w:val="center"/>
          </w:tcPr>
          <w:p>
            <w:pPr>
              <w:pStyle w:val="27"/>
              <w:tabs>
                <w:tab w:val="left" w:pos="720"/>
              </w:tabs>
              <w:spacing w:before="1" w:line="360" w:lineRule="auto"/>
              <w:rPr>
                <w:sz w:val="24"/>
              </w:rPr>
            </w:pPr>
            <w:r>
              <w:rPr>
                <w:rFonts w:hint="eastAsia"/>
                <w:sz w:val="24"/>
              </w:rPr>
              <w:t>大写：叁仟伍佰万元整（¥</w:t>
            </w:r>
            <w:r>
              <w:rPr>
                <w:rFonts w:hint="eastAsia"/>
                <w:sz w:val="24"/>
                <w:lang w:val="en-US"/>
              </w:rPr>
              <w:t>35000000.00</w:t>
            </w:r>
            <w:r>
              <w:rPr>
                <w:rFonts w:hint="eastAsia"/>
                <w:sz w:val="24"/>
              </w:rPr>
              <w:t>）</w:t>
            </w:r>
          </w:p>
          <w:p>
            <w:pPr>
              <w:pStyle w:val="27"/>
              <w:tabs>
                <w:tab w:val="left" w:pos="720"/>
              </w:tabs>
              <w:spacing w:before="1" w:line="360" w:lineRule="auto"/>
              <w:rPr>
                <w:sz w:val="24"/>
              </w:rPr>
            </w:pPr>
            <w:r>
              <w:rPr>
                <w:rFonts w:hint="eastAsia"/>
                <w:sz w:val="24"/>
              </w:rPr>
              <w:t>其中：大气环境物联监测网络：壹仟肆佰柒拾柒万元整（¥</w:t>
            </w:r>
            <w:r>
              <w:rPr>
                <w:rFonts w:hint="eastAsia"/>
                <w:sz w:val="24"/>
                <w:lang w:val="en-US"/>
              </w:rPr>
              <w:t>14770000.00</w:t>
            </w:r>
            <w:r>
              <w:rPr>
                <w:rFonts w:hint="eastAsia"/>
                <w:sz w:val="24"/>
              </w:rPr>
              <w:t>）；大气环境分析管理平台：伍佰叁拾伍万（¥</w:t>
            </w:r>
            <w:r>
              <w:rPr>
                <w:rFonts w:hint="eastAsia"/>
                <w:sz w:val="24"/>
                <w:lang w:val="en-US"/>
              </w:rPr>
              <w:t>5350000.00</w:t>
            </w:r>
            <w:r>
              <w:rPr>
                <w:rFonts w:hint="eastAsia"/>
                <w:sz w:val="24"/>
              </w:rPr>
              <w:t>）；专家团队咨询服务：壹仟肆佰捌拾捌万（¥</w:t>
            </w:r>
            <w:r>
              <w:rPr>
                <w:rFonts w:hint="eastAsia"/>
                <w:sz w:val="24"/>
                <w:lang w:val="en-US"/>
              </w:rPr>
              <w:t>14880000.00</w:t>
            </w:r>
            <w:r>
              <w:rPr>
                <w:rFonts w:hint="eastAsia"/>
                <w:sz w:val="24"/>
              </w:rPr>
              <w:t>）。</w:t>
            </w:r>
          </w:p>
          <w:p>
            <w:pPr>
              <w:pStyle w:val="27"/>
              <w:tabs>
                <w:tab w:val="left" w:pos="720"/>
              </w:tabs>
              <w:spacing w:before="1" w:line="360" w:lineRule="auto"/>
              <w:rPr>
                <w:sz w:val="24"/>
              </w:rPr>
            </w:pPr>
            <w:r>
              <w:rPr>
                <w:rFonts w:hint="eastAsia"/>
                <w:sz w:val="24"/>
              </w:rPr>
              <w:t>投标人的投标报价高于招标控制价的视为无效报价，其投标按废标处理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ind w:left="331" w:right="324"/>
              <w:jc w:val="center"/>
              <w:rPr>
                <w:bCs/>
                <w:sz w:val="24"/>
              </w:rPr>
            </w:pPr>
            <w:r>
              <w:rPr>
                <w:bCs/>
                <w:sz w:val="24"/>
              </w:rPr>
              <w:t>36</w:t>
            </w:r>
          </w:p>
        </w:tc>
        <w:tc>
          <w:tcPr>
            <w:tcW w:w="8021" w:type="dxa"/>
            <w:gridSpan w:val="2"/>
            <w:vAlign w:val="center"/>
          </w:tcPr>
          <w:p>
            <w:pPr>
              <w:pStyle w:val="27"/>
              <w:spacing w:before="8"/>
              <w:jc w:val="both"/>
              <w:rPr>
                <w:bCs/>
                <w:sz w:val="17"/>
              </w:rPr>
            </w:pPr>
          </w:p>
          <w:p>
            <w:pPr>
              <w:pStyle w:val="27"/>
              <w:numPr>
                <w:ilvl w:val="0"/>
                <w:numId w:val="1"/>
              </w:numPr>
              <w:tabs>
                <w:tab w:val="left" w:pos="417"/>
              </w:tabs>
              <w:spacing w:line="343" w:lineRule="auto"/>
              <w:ind w:left="104" w:right="99" w:firstLine="0"/>
              <w:jc w:val="both"/>
              <w:rPr>
                <w:bCs/>
                <w:sz w:val="24"/>
              </w:rPr>
            </w:pPr>
            <w:r>
              <w:rPr>
                <w:bCs/>
                <w:spacing w:val="-2"/>
                <w:sz w:val="24"/>
              </w:rPr>
              <w:t>投标人应承担其投标文件编制与递交所涉及的一切费用，包括但不限于中标后</w:t>
            </w:r>
            <w:r>
              <w:rPr>
                <w:bCs/>
                <w:sz w:val="24"/>
              </w:rPr>
              <w:t>的招标代理服务费。</w:t>
            </w:r>
          </w:p>
          <w:p>
            <w:pPr>
              <w:pStyle w:val="27"/>
              <w:numPr>
                <w:ilvl w:val="0"/>
                <w:numId w:val="1"/>
              </w:numPr>
              <w:tabs>
                <w:tab w:val="left" w:pos="417"/>
              </w:tabs>
              <w:spacing w:line="306" w:lineRule="exact"/>
              <w:ind w:left="417" w:hanging="313"/>
              <w:jc w:val="both"/>
              <w:rPr>
                <w:bCs/>
                <w:sz w:val="24"/>
              </w:rPr>
            </w:pPr>
            <w:r>
              <w:rPr>
                <w:bCs/>
                <w:sz w:val="24"/>
              </w:rPr>
              <w:t>招标代理费收取参照发改办价格[2015]299</w:t>
            </w:r>
            <w:r>
              <w:rPr>
                <w:bCs/>
                <w:spacing w:val="-8"/>
                <w:sz w:val="24"/>
              </w:rPr>
              <w:t xml:space="preserve"> 号文协商收取。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spacing w:before="207"/>
              <w:jc w:val="center"/>
              <w:rPr>
                <w:b/>
                <w:bCs/>
                <w:sz w:val="24"/>
                <w:lang w:val="en-US"/>
              </w:rPr>
            </w:pPr>
            <w:r>
              <w:rPr>
                <w:sz w:val="24"/>
              </w:rPr>
              <w:t>3</w:t>
            </w:r>
            <w:r>
              <w:rPr>
                <w:rFonts w:hint="eastAsia"/>
                <w:sz w:val="24"/>
                <w:lang w:val="en-US"/>
              </w:rPr>
              <w:t>7</w:t>
            </w:r>
          </w:p>
        </w:tc>
        <w:tc>
          <w:tcPr>
            <w:tcW w:w="2010" w:type="dxa"/>
            <w:vAlign w:val="center"/>
          </w:tcPr>
          <w:p>
            <w:pPr>
              <w:pStyle w:val="27"/>
              <w:spacing w:before="176"/>
              <w:ind w:left="585"/>
              <w:jc w:val="both"/>
              <w:rPr>
                <w:b/>
                <w:bCs/>
                <w:sz w:val="24"/>
              </w:rPr>
            </w:pPr>
            <w:r>
              <w:rPr>
                <w:sz w:val="24"/>
              </w:rPr>
              <w:t>解释权</w:t>
            </w:r>
          </w:p>
        </w:tc>
        <w:tc>
          <w:tcPr>
            <w:tcW w:w="6011" w:type="dxa"/>
            <w:vAlign w:val="center"/>
          </w:tcPr>
          <w:p>
            <w:pPr>
              <w:pStyle w:val="27"/>
              <w:spacing w:before="112" w:line="343" w:lineRule="auto"/>
              <w:ind w:left="145" w:right="97" w:hanging="41"/>
              <w:jc w:val="both"/>
              <w:rPr>
                <w:b/>
                <w:bCs/>
                <w:sz w:val="24"/>
              </w:rPr>
            </w:pPr>
            <w:r>
              <w:rPr>
                <w:rFonts w:hint="eastAsia"/>
                <w:sz w:val="24"/>
                <w:lang w:val="en-US"/>
              </w:rPr>
              <w:t>1、</w:t>
            </w:r>
            <w:r>
              <w:rPr>
                <w:sz w:val="24"/>
              </w:rPr>
              <w:t>构成本招标文件的各个组成文件应互为解释，互为说明</w:t>
            </w:r>
            <w:r>
              <w:rPr>
                <w:rFonts w:hint="eastAsia"/>
                <w:sz w:val="24"/>
              </w:rPr>
              <w:t>；</w:t>
            </w:r>
          </w:p>
          <w:p>
            <w:pPr>
              <w:pStyle w:val="27"/>
              <w:spacing w:before="112" w:line="343" w:lineRule="auto"/>
              <w:ind w:left="145" w:right="97" w:hanging="41"/>
              <w:jc w:val="both"/>
              <w:rPr>
                <w:b/>
                <w:bCs/>
                <w:sz w:val="24"/>
              </w:rPr>
            </w:pPr>
            <w:r>
              <w:rPr>
                <w:rFonts w:hint="eastAsia"/>
                <w:spacing w:val="-1"/>
                <w:sz w:val="24"/>
                <w:lang w:val="en-US"/>
              </w:rPr>
              <w:t>2、</w:t>
            </w:r>
            <w:r>
              <w:rPr>
                <w:spacing w:val="-1"/>
                <w:sz w:val="24"/>
              </w:rPr>
              <w:t>如有不明确或不一致，构成合同文件组成内容的，以合同文件约定内容为准，且以专用合同条款约定的合同文件优先顺序</w:t>
            </w:r>
            <w:r>
              <w:rPr>
                <w:sz w:val="24"/>
              </w:rPr>
              <w:t>解释</w:t>
            </w:r>
            <w:r>
              <w:rPr>
                <w:rFonts w:hint="eastAsia"/>
                <w:sz w:val="24"/>
              </w:rPr>
              <w:t>；</w:t>
            </w:r>
          </w:p>
          <w:p>
            <w:pPr>
              <w:pStyle w:val="27"/>
              <w:spacing w:before="112" w:line="343" w:lineRule="auto"/>
              <w:ind w:left="145" w:right="97" w:hanging="41"/>
              <w:jc w:val="both"/>
              <w:rPr>
                <w:b/>
                <w:bCs/>
                <w:sz w:val="24"/>
              </w:rPr>
            </w:pPr>
            <w:r>
              <w:rPr>
                <w:rFonts w:hint="eastAsia"/>
                <w:spacing w:val="9"/>
                <w:sz w:val="24"/>
                <w:lang w:val="en-US"/>
              </w:rPr>
              <w:t>3、</w:t>
            </w:r>
            <w:r>
              <w:rPr>
                <w:spacing w:val="9"/>
                <w:sz w:val="24"/>
              </w:rPr>
              <w:t>除招标文件中有特别规定外，仅适用于招标投标阶段的规</w:t>
            </w:r>
            <w:r>
              <w:rPr>
                <w:sz w:val="24"/>
              </w:rPr>
              <w:t>定，按招标公告、投标人须知、评标办法（综合评分法）、投标文件格式的先后顺序解释</w:t>
            </w:r>
            <w:r>
              <w:rPr>
                <w:rFonts w:hint="eastAsia"/>
                <w:sz w:val="24"/>
              </w:rPr>
              <w:t>；</w:t>
            </w:r>
          </w:p>
          <w:p>
            <w:pPr>
              <w:pStyle w:val="27"/>
              <w:spacing w:before="112" w:line="343" w:lineRule="auto"/>
              <w:ind w:left="145" w:right="97" w:hanging="41"/>
              <w:jc w:val="both"/>
              <w:rPr>
                <w:b/>
                <w:bCs/>
                <w:sz w:val="24"/>
              </w:rPr>
            </w:pPr>
            <w:r>
              <w:rPr>
                <w:rFonts w:hint="eastAsia"/>
                <w:spacing w:val="-1"/>
                <w:sz w:val="24"/>
                <w:lang w:val="en-US"/>
              </w:rPr>
              <w:t>4、</w:t>
            </w:r>
            <w:r>
              <w:rPr>
                <w:spacing w:val="-1"/>
                <w:sz w:val="24"/>
              </w:rPr>
              <w:t>同一组成文件中就同一事项的规定或约定不一致的，以编排</w:t>
            </w:r>
            <w:r>
              <w:rPr>
                <w:sz w:val="24"/>
              </w:rPr>
              <w:t>顺序在后者为准；</w:t>
            </w:r>
          </w:p>
          <w:p>
            <w:pPr>
              <w:pStyle w:val="27"/>
              <w:spacing w:before="112" w:line="343" w:lineRule="auto"/>
              <w:ind w:left="145" w:right="97" w:hanging="41"/>
              <w:jc w:val="both"/>
              <w:rPr>
                <w:b/>
                <w:bCs/>
                <w:sz w:val="24"/>
              </w:rPr>
            </w:pPr>
            <w:r>
              <w:rPr>
                <w:rFonts w:hint="eastAsia"/>
                <w:spacing w:val="-1"/>
                <w:sz w:val="24"/>
                <w:lang w:val="en-US"/>
              </w:rPr>
              <w:t>5、</w:t>
            </w:r>
            <w:r>
              <w:rPr>
                <w:spacing w:val="-1"/>
                <w:sz w:val="24"/>
              </w:rPr>
              <w:t>同一组成文件不同版本之间有不一致的，以形成时间在后者</w:t>
            </w:r>
            <w:r>
              <w:rPr>
                <w:sz w:val="24"/>
              </w:rPr>
              <w:t>为准；</w:t>
            </w:r>
          </w:p>
          <w:p>
            <w:pPr>
              <w:pStyle w:val="27"/>
              <w:spacing w:before="112" w:line="343" w:lineRule="auto"/>
              <w:ind w:left="145" w:right="97" w:hanging="41"/>
              <w:jc w:val="both"/>
              <w:rPr>
                <w:b/>
                <w:bCs/>
                <w:sz w:val="24"/>
              </w:rPr>
            </w:pPr>
            <w:r>
              <w:rPr>
                <w:rFonts w:hint="eastAsia"/>
                <w:sz w:val="24"/>
                <w:lang w:val="en-US"/>
              </w:rPr>
              <w:t>6、</w:t>
            </w:r>
            <w:r>
              <w:rPr>
                <w:sz w:val="24"/>
              </w:rPr>
              <w:t>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jc w:val="center"/>
              <w:rPr>
                <w:b/>
                <w:bCs/>
                <w:sz w:val="24"/>
                <w:lang w:val="en-US"/>
              </w:rPr>
            </w:pPr>
            <w:r>
              <w:rPr>
                <w:sz w:val="24"/>
              </w:rPr>
              <w:t>3</w:t>
            </w:r>
            <w:r>
              <w:rPr>
                <w:rFonts w:hint="eastAsia"/>
                <w:sz w:val="24"/>
                <w:lang w:val="en-US"/>
              </w:rPr>
              <w:t>8</w:t>
            </w:r>
          </w:p>
        </w:tc>
        <w:tc>
          <w:tcPr>
            <w:tcW w:w="8021" w:type="dxa"/>
            <w:gridSpan w:val="2"/>
            <w:vAlign w:val="center"/>
          </w:tcPr>
          <w:p>
            <w:pPr>
              <w:pStyle w:val="27"/>
              <w:spacing w:before="59" w:line="440" w:lineRule="atLeast"/>
              <w:ind w:left="104" w:right="27"/>
              <w:jc w:val="both"/>
              <w:rPr>
                <w:b/>
                <w:bCs/>
                <w:sz w:val="24"/>
              </w:rPr>
            </w:pPr>
            <w:r>
              <w:rPr>
                <w:sz w:val="24"/>
              </w:rPr>
              <w:t>依据豫发改公管（2019）198号文要求，投标人投标文件制作器码一致视为串通投标行为，做废标处理，需投标人自行承担责任。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vAlign w:val="center"/>
          </w:tcPr>
          <w:p>
            <w:pPr>
              <w:pStyle w:val="27"/>
              <w:jc w:val="center"/>
              <w:rPr>
                <w:sz w:val="24"/>
                <w:lang w:val="en-US"/>
              </w:rPr>
            </w:pPr>
            <w:r>
              <w:rPr>
                <w:rFonts w:hint="eastAsia"/>
                <w:sz w:val="24"/>
                <w:lang w:val="en-US"/>
              </w:rPr>
              <w:t>39</w:t>
            </w:r>
          </w:p>
        </w:tc>
        <w:tc>
          <w:tcPr>
            <w:tcW w:w="2010" w:type="dxa"/>
            <w:vAlign w:val="center"/>
          </w:tcPr>
          <w:p>
            <w:pPr>
              <w:pStyle w:val="27"/>
              <w:spacing w:line="345" w:lineRule="auto"/>
              <w:ind w:right="140"/>
              <w:jc w:val="center"/>
              <w:rPr>
                <w:sz w:val="24"/>
              </w:rPr>
            </w:pPr>
            <w:r>
              <w:rPr>
                <w:sz w:val="24"/>
              </w:rPr>
              <w:t>制定本招标文件法律依据</w:t>
            </w:r>
          </w:p>
        </w:tc>
        <w:tc>
          <w:tcPr>
            <w:tcW w:w="6011" w:type="dxa"/>
            <w:vAlign w:val="center"/>
          </w:tcPr>
          <w:p>
            <w:pPr>
              <w:pStyle w:val="27"/>
              <w:spacing w:before="189" w:line="343" w:lineRule="auto"/>
              <w:ind w:left="104" w:right="98"/>
              <w:jc w:val="both"/>
              <w:rPr>
                <w:sz w:val="24"/>
              </w:rPr>
            </w:pPr>
            <w:r>
              <w:rPr>
                <w:sz w:val="24"/>
              </w:rPr>
              <w:t>《中华人民共和国招标投标法》《中华人民共和国招标投标法实施条例》《中华人民共和国政府采购法》等相关法律法规。本招标文件解释权归采购人。其他未尽事宜按国家最新法律、法规执行。</w:t>
            </w:r>
          </w:p>
        </w:tc>
      </w:tr>
    </w:tbl>
    <w:p>
      <w:pPr>
        <w:pStyle w:val="24"/>
        <w:jc w:val="center"/>
        <w:rPr>
          <w:color w:val="auto"/>
        </w:rPr>
      </w:pPr>
    </w:p>
    <w:p>
      <w:pPr>
        <w:spacing w:line="360" w:lineRule="auto"/>
        <w:jc w:val="center"/>
        <w:outlineLvl w:val="1"/>
        <w:rPr>
          <w:sz w:val="24"/>
          <w:szCs w:val="24"/>
        </w:rPr>
      </w:pPr>
      <w:r>
        <w:br w:type="page"/>
      </w:r>
      <w:bookmarkStart w:id="3" w:name="_Toc2285"/>
      <w:r>
        <w:rPr>
          <w:rFonts w:hint="eastAsia"/>
          <w:b/>
          <w:bCs/>
          <w:sz w:val="24"/>
          <w:szCs w:val="24"/>
        </w:rPr>
        <w:t>一、总则</w:t>
      </w:r>
      <w:bookmarkEnd w:id="3"/>
    </w:p>
    <w:p>
      <w:pPr>
        <w:spacing w:line="360" w:lineRule="auto"/>
        <w:rPr>
          <w:b/>
          <w:bCs/>
          <w:sz w:val="24"/>
          <w:szCs w:val="24"/>
        </w:rPr>
      </w:pPr>
      <w:r>
        <w:rPr>
          <w:rFonts w:hint="eastAsia"/>
          <w:b/>
          <w:bCs/>
          <w:sz w:val="24"/>
          <w:szCs w:val="24"/>
        </w:rPr>
        <w:t>1.综合说明</w:t>
      </w:r>
    </w:p>
    <w:p>
      <w:pPr>
        <w:spacing w:line="360" w:lineRule="auto"/>
        <w:ind w:firstLine="480" w:firstLineChars="200"/>
        <w:rPr>
          <w:sz w:val="24"/>
          <w:szCs w:val="24"/>
        </w:rPr>
      </w:pPr>
      <w:r>
        <w:rPr>
          <w:rFonts w:hint="eastAsia"/>
          <w:sz w:val="24"/>
          <w:szCs w:val="24"/>
        </w:rPr>
        <w:t>1.1采购人：见投标须知前附表；</w:t>
      </w:r>
    </w:p>
    <w:p>
      <w:pPr>
        <w:spacing w:line="360" w:lineRule="auto"/>
        <w:ind w:firstLine="480" w:firstLineChars="200"/>
        <w:rPr>
          <w:sz w:val="24"/>
          <w:szCs w:val="24"/>
        </w:rPr>
      </w:pPr>
      <w:r>
        <w:rPr>
          <w:rFonts w:hint="eastAsia"/>
          <w:sz w:val="24"/>
          <w:szCs w:val="24"/>
        </w:rPr>
        <w:t>1.2采购代理机构：见投标须知前附表；</w:t>
      </w:r>
    </w:p>
    <w:p>
      <w:pPr>
        <w:spacing w:line="360" w:lineRule="auto"/>
        <w:ind w:firstLine="480" w:firstLineChars="200"/>
        <w:rPr>
          <w:sz w:val="24"/>
          <w:szCs w:val="24"/>
        </w:rPr>
      </w:pPr>
      <w:r>
        <w:rPr>
          <w:rFonts w:hint="eastAsia"/>
          <w:sz w:val="24"/>
          <w:szCs w:val="24"/>
        </w:rPr>
        <w:t>1.3项目名称：见投标须知前附表；</w:t>
      </w:r>
    </w:p>
    <w:p>
      <w:pPr>
        <w:spacing w:line="360" w:lineRule="auto"/>
        <w:ind w:firstLine="480" w:firstLineChars="200"/>
        <w:rPr>
          <w:sz w:val="24"/>
          <w:szCs w:val="24"/>
        </w:rPr>
      </w:pPr>
      <w:r>
        <w:rPr>
          <w:rFonts w:hint="eastAsia"/>
          <w:sz w:val="24"/>
          <w:szCs w:val="24"/>
        </w:rPr>
        <w:t>1.4项目地点：见投标须知前附表；</w:t>
      </w:r>
    </w:p>
    <w:p>
      <w:pPr>
        <w:spacing w:line="360" w:lineRule="auto"/>
        <w:ind w:firstLine="480" w:firstLineChars="200"/>
        <w:rPr>
          <w:sz w:val="24"/>
          <w:szCs w:val="24"/>
        </w:rPr>
      </w:pPr>
      <w:r>
        <w:rPr>
          <w:rFonts w:hint="eastAsia"/>
          <w:sz w:val="24"/>
          <w:szCs w:val="24"/>
        </w:rPr>
        <w:t>1.5资金来源：见投标须知前附表；</w:t>
      </w:r>
    </w:p>
    <w:p>
      <w:pPr>
        <w:spacing w:line="360" w:lineRule="auto"/>
        <w:ind w:firstLine="480" w:firstLineChars="200"/>
        <w:rPr>
          <w:sz w:val="24"/>
          <w:szCs w:val="24"/>
        </w:rPr>
      </w:pPr>
      <w:r>
        <w:rPr>
          <w:rFonts w:hint="eastAsia"/>
          <w:sz w:val="24"/>
          <w:szCs w:val="24"/>
        </w:rPr>
        <w:t xml:space="preserve">1.6资金落实情况：见投标须知前附表。 </w:t>
      </w:r>
    </w:p>
    <w:p>
      <w:pPr>
        <w:spacing w:line="360" w:lineRule="auto"/>
        <w:rPr>
          <w:b/>
          <w:bCs/>
          <w:sz w:val="24"/>
          <w:szCs w:val="24"/>
        </w:rPr>
      </w:pPr>
      <w:r>
        <w:rPr>
          <w:rFonts w:hint="eastAsia"/>
          <w:b/>
          <w:bCs/>
          <w:sz w:val="24"/>
          <w:szCs w:val="24"/>
        </w:rPr>
        <w:t>2.项目概况及任务</w:t>
      </w:r>
    </w:p>
    <w:p>
      <w:pPr>
        <w:spacing w:line="360" w:lineRule="auto"/>
        <w:ind w:firstLine="480" w:firstLineChars="200"/>
        <w:rPr>
          <w:sz w:val="24"/>
          <w:szCs w:val="24"/>
        </w:rPr>
      </w:pPr>
      <w:r>
        <w:rPr>
          <w:rFonts w:hint="eastAsia"/>
          <w:sz w:val="24"/>
          <w:szCs w:val="24"/>
        </w:rPr>
        <w:t>2.1本项目划分一个标包，聘请专家团队咨询服务，建立大气环境物联监测网络，建设大气环境分析管理平台。（详见第五章）</w:t>
      </w:r>
    </w:p>
    <w:p>
      <w:pPr>
        <w:spacing w:line="360" w:lineRule="auto"/>
        <w:rPr>
          <w:b/>
          <w:bCs/>
          <w:sz w:val="24"/>
          <w:szCs w:val="24"/>
        </w:rPr>
      </w:pPr>
      <w:r>
        <w:rPr>
          <w:rFonts w:hint="eastAsia"/>
          <w:b/>
          <w:bCs/>
          <w:sz w:val="24"/>
          <w:szCs w:val="24"/>
        </w:rPr>
        <w:t>3.招标范围及标段划分</w:t>
      </w:r>
    </w:p>
    <w:p>
      <w:pPr>
        <w:spacing w:line="360" w:lineRule="auto"/>
        <w:ind w:firstLine="480" w:firstLineChars="200"/>
        <w:rPr>
          <w:sz w:val="24"/>
          <w:szCs w:val="24"/>
        </w:rPr>
      </w:pPr>
      <w:r>
        <w:rPr>
          <w:rFonts w:hint="eastAsia"/>
          <w:sz w:val="24"/>
          <w:szCs w:val="24"/>
        </w:rPr>
        <w:t>3.1根据《中华人民共和国招标投标法》《中华人民共和国政府采购法》及当地相关的法律、法规和规章的规定，本招标项目已具备招标条件，现对本项目进行公开招标。</w:t>
      </w:r>
    </w:p>
    <w:p>
      <w:pPr>
        <w:spacing w:line="360" w:lineRule="auto"/>
        <w:ind w:firstLine="480" w:firstLineChars="200"/>
        <w:rPr>
          <w:sz w:val="24"/>
          <w:szCs w:val="24"/>
        </w:rPr>
      </w:pPr>
      <w:r>
        <w:rPr>
          <w:rFonts w:hint="eastAsia"/>
          <w:sz w:val="24"/>
          <w:szCs w:val="24"/>
        </w:rPr>
        <w:t>3.2本项目招标范围及标段划分：见投标人须知前附表。</w:t>
      </w:r>
    </w:p>
    <w:p>
      <w:pPr>
        <w:spacing w:line="360" w:lineRule="auto"/>
        <w:rPr>
          <w:b/>
          <w:bCs/>
          <w:sz w:val="24"/>
          <w:szCs w:val="24"/>
        </w:rPr>
      </w:pPr>
      <w:r>
        <w:rPr>
          <w:rFonts w:hint="eastAsia"/>
          <w:b/>
          <w:bCs/>
          <w:sz w:val="24"/>
          <w:szCs w:val="24"/>
        </w:rPr>
        <w:t>4.招标要求</w:t>
      </w:r>
    </w:p>
    <w:p>
      <w:pPr>
        <w:spacing w:line="360" w:lineRule="auto"/>
        <w:ind w:firstLine="480" w:firstLineChars="200"/>
        <w:rPr>
          <w:sz w:val="24"/>
          <w:szCs w:val="24"/>
        </w:rPr>
      </w:pPr>
      <w:r>
        <w:rPr>
          <w:rFonts w:hint="eastAsia"/>
          <w:sz w:val="24"/>
          <w:szCs w:val="24"/>
        </w:rPr>
        <w:t>4.l质量要求：见投标人须知前附表</w:t>
      </w:r>
    </w:p>
    <w:p>
      <w:pPr>
        <w:spacing w:line="360" w:lineRule="auto"/>
        <w:ind w:firstLine="480" w:firstLineChars="200"/>
        <w:rPr>
          <w:sz w:val="24"/>
          <w:szCs w:val="24"/>
        </w:rPr>
      </w:pPr>
      <w:r>
        <w:rPr>
          <w:rFonts w:hint="eastAsia"/>
          <w:sz w:val="24"/>
          <w:szCs w:val="24"/>
        </w:rPr>
        <w:t>4.2质量评定的标准和规范见国家、河南省执行的最新版本。</w:t>
      </w:r>
    </w:p>
    <w:p>
      <w:pPr>
        <w:spacing w:line="360" w:lineRule="auto"/>
        <w:ind w:firstLine="480" w:firstLineChars="200"/>
        <w:rPr>
          <w:sz w:val="24"/>
          <w:szCs w:val="24"/>
        </w:rPr>
      </w:pPr>
      <w:r>
        <w:rPr>
          <w:rFonts w:hint="eastAsia"/>
          <w:sz w:val="24"/>
          <w:szCs w:val="24"/>
        </w:rPr>
        <w:t>4.3服务期限：见投标人须知前附表</w:t>
      </w:r>
    </w:p>
    <w:p>
      <w:pPr>
        <w:spacing w:line="360" w:lineRule="auto"/>
        <w:ind w:firstLine="480" w:firstLineChars="200"/>
        <w:rPr>
          <w:sz w:val="24"/>
          <w:szCs w:val="24"/>
        </w:rPr>
      </w:pPr>
      <w:r>
        <w:rPr>
          <w:rFonts w:hint="eastAsia"/>
          <w:sz w:val="24"/>
          <w:szCs w:val="24"/>
        </w:rPr>
        <w:t>4.4投标人资格要求：</w:t>
      </w:r>
    </w:p>
    <w:p>
      <w:pPr>
        <w:spacing w:line="360" w:lineRule="auto"/>
        <w:ind w:firstLine="480" w:firstLineChars="200"/>
        <w:rPr>
          <w:sz w:val="24"/>
          <w:szCs w:val="24"/>
        </w:rPr>
      </w:pPr>
      <w:r>
        <w:rPr>
          <w:rFonts w:hint="eastAsia"/>
          <w:sz w:val="24"/>
          <w:szCs w:val="24"/>
        </w:rPr>
        <w:t>4.4.1投标人应具备承担本项目的服务能力和信誉，详见投标人须知前附表。</w:t>
      </w:r>
    </w:p>
    <w:p>
      <w:pPr>
        <w:spacing w:line="360" w:lineRule="auto"/>
        <w:ind w:firstLine="480" w:firstLineChars="200"/>
        <w:rPr>
          <w:sz w:val="24"/>
          <w:szCs w:val="24"/>
        </w:rPr>
      </w:pPr>
      <w:r>
        <w:rPr>
          <w:rFonts w:hint="eastAsia"/>
          <w:sz w:val="24"/>
          <w:szCs w:val="24"/>
        </w:rPr>
        <w:t>4.4.2投标人须知前附表规定接受联合体投标的，除应符合本章第4.5项和投标人须知前附表的要求外，还应遵守以下规定：</w:t>
      </w:r>
    </w:p>
    <w:p>
      <w:pPr>
        <w:spacing w:line="360" w:lineRule="auto"/>
        <w:ind w:firstLine="480" w:firstLineChars="200"/>
        <w:rPr>
          <w:sz w:val="24"/>
          <w:szCs w:val="24"/>
        </w:rPr>
      </w:pPr>
      <w:r>
        <w:rPr>
          <w:rFonts w:hint="eastAsia"/>
          <w:sz w:val="24"/>
          <w:szCs w:val="24"/>
        </w:rPr>
        <w:t>（1）联合体各方应按招标文件提供的格式签订联合体协议书，明确联合体牵头人和各方权利义务；</w:t>
      </w:r>
    </w:p>
    <w:p>
      <w:pPr>
        <w:spacing w:line="360" w:lineRule="auto"/>
        <w:ind w:firstLine="480" w:firstLineChars="200"/>
        <w:rPr>
          <w:sz w:val="24"/>
          <w:szCs w:val="24"/>
        </w:rPr>
      </w:pPr>
      <w:r>
        <w:rPr>
          <w:rFonts w:hint="eastAsia"/>
          <w:sz w:val="24"/>
          <w:szCs w:val="24"/>
        </w:rPr>
        <w:t>（2）由同一专业的单位组成的联合体，按照资质等级较低的单位确定资质等级；</w:t>
      </w:r>
    </w:p>
    <w:p>
      <w:pPr>
        <w:spacing w:line="360" w:lineRule="auto"/>
        <w:ind w:firstLine="480" w:firstLineChars="200"/>
        <w:rPr>
          <w:sz w:val="24"/>
          <w:szCs w:val="24"/>
        </w:rPr>
      </w:pPr>
      <w:r>
        <w:rPr>
          <w:rFonts w:hint="eastAsia"/>
          <w:sz w:val="24"/>
          <w:szCs w:val="24"/>
        </w:rPr>
        <w:t>（3）联合体各方不得再以自己名义单独或参加其他联合体在同一标段中投标。</w:t>
      </w:r>
    </w:p>
    <w:p>
      <w:pPr>
        <w:spacing w:line="360" w:lineRule="auto"/>
        <w:ind w:firstLine="480" w:firstLineChars="200"/>
        <w:rPr>
          <w:sz w:val="24"/>
          <w:szCs w:val="24"/>
        </w:rPr>
      </w:pPr>
      <w:r>
        <w:rPr>
          <w:rFonts w:hint="eastAsia"/>
          <w:sz w:val="24"/>
          <w:szCs w:val="24"/>
        </w:rPr>
        <w:t>4.4.3投标人或投标人之间不得存在下列情形之一：</w:t>
      </w:r>
    </w:p>
    <w:p>
      <w:pPr>
        <w:spacing w:line="360" w:lineRule="auto"/>
        <w:ind w:firstLine="480" w:firstLineChars="200"/>
        <w:rPr>
          <w:sz w:val="24"/>
          <w:szCs w:val="24"/>
        </w:rPr>
      </w:pPr>
      <w:r>
        <w:rPr>
          <w:rFonts w:hint="eastAsia"/>
          <w:sz w:val="24"/>
          <w:szCs w:val="24"/>
        </w:rPr>
        <w:t>（l）采购人不具有独立法人资格的附属机构（单位）；</w:t>
      </w:r>
    </w:p>
    <w:p>
      <w:pPr>
        <w:spacing w:line="360" w:lineRule="auto"/>
        <w:ind w:firstLine="480" w:firstLineChars="200"/>
        <w:rPr>
          <w:sz w:val="24"/>
          <w:szCs w:val="24"/>
        </w:rPr>
      </w:pPr>
      <w:r>
        <w:rPr>
          <w:rFonts w:hint="eastAsia"/>
          <w:sz w:val="24"/>
          <w:szCs w:val="24"/>
        </w:rPr>
        <w:t>（2）单位负责人为同一人或者存在直接控股、管理关系的不同供应商，不得参加同一合同项下的政府采购活动；</w:t>
      </w:r>
    </w:p>
    <w:p>
      <w:pPr>
        <w:spacing w:line="360" w:lineRule="auto"/>
        <w:ind w:firstLine="480" w:firstLineChars="200"/>
        <w:rPr>
          <w:sz w:val="24"/>
          <w:szCs w:val="24"/>
        </w:rPr>
      </w:pPr>
      <w:r>
        <w:rPr>
          <w:rFonts w:hint="eastAsia"/>
          <w:sz w:val="24"/>
          <w:szCs w:val="24"/>
        </w:rPr>
        <w:t>（3）法定代表人或负责人或实际控制人是夫妻关系；</w:t>
      </w:r>
    </w:p>
    <w:p>
      <w:pPr>
        <w:spacing w:line="360" w:lineRule="auto"/>
        <w:ind w:firstLine="480" w:firstLineChars="200"/>
        <w:rPr>
          <w:sz w:val="24"/>
          <w:szCs w:val="24"/>
        </w:rPr>
      </w:pPr>
      <w:r>
        <w:rPr>
          <w:rFonts w:hint="eastAsia"/>
          <w:sz w:val="24"/>
          <w:szCs w:val="24"/>
        </w:rPr>
        <w:t>（4）法定代表人或负责人或实际控制人是直系血亲关系；</w:t>
      </w:r>
    </w:p>
    <w:p>
      <w:pPr>
        <w:spacing w:line="360" w:lineRule="auto"/>
        <w:ind w:firstLine="480" w:firstLineChars="200"/>
        <w:rPr>
          <w:sz w:val="24"/>
          <w:szCs w:val="24"/>
        </w:rPr>
      </w:pPr>
      <w:r>
        <w:rPr>
          <w:rFonts w:hint="eastAsia"/>
          <w:sz w:val="24"/>
          <w:szCs w:val="24"/>
        </w:rPr>
        <w:t>（5）法定代表人或负责人或实际控制人存在三代以内旁系血亲关系；</w:t>
      </w:r>
    </w:p>
    <w:p>
      <w:pPr>
        <w:spacing w:line="360" w:lineRule="auto"/>
        <w:ind w:firstLine="480" w:firstLineChars="200"/>
        <w:rPr>
          <w:sz w:val="24"/>
          <w:szCs w:val="24"/>
        </w:rPr>
      </w:pPr>
      <w:r>
        <w:rPr>
          <w:rFonts w:hint="eastAsia"/>
          <w:sz w:val="24"/>
          <w:szCs w:val="24"/>
        </w:rPr>
        <w:t>（6）法定代表人或负责人或实际控制人存在近姻亲关系；</w:t>
      </w:r>
    </w:p>
    <w:p>
      <w:pPr>
        <w:spacing w:line="360" w:lineRule="auto"/>
        <w:ind w:firstLine="480" w:firstLineChars="200"/>
        <w:rPr>
          <w:sz w:val="24"/>
          <w:szCs w:val="24"/>
        </w:rPr>
      </w:pPr>
      <w:r>
        <w:rPr>
          <w:rFonts w:hint="eastAsia"/>
          <w:sz w:val="24"/>
          <w:szCs w:val="24"/>
        </w:rPr>
        <w:t>（7）法定代表人或负责人或实际控制人存在股份控制或实际控制关系；</w:t>
      </w:r>
    </w:p>
    <w:p>
      <w:pPr>
        <w:spacing w:line="360" w:lineRule="auto"/>
        <w:ind w:firstLine="480" w:firstLineChars="200"/>
        <w:rPr>
          <w:sz w:val="24"/>
          <w:szCs w:val="24"/>
        </w:rPr>
      </w:pPr>
      <w:r>
        <w:rPr>
          <w:rFonts w:hint="eastAsia"/>
          <w:sz w:val="24"/>
          <w:szCs w:val="24"/>
        </w:rPr>
        <w:t>（8）存在共同直接或间接投资设立子公司、联营企业和合营企业情况；</w:t>
      </w:r>
    </w:p>
    <w:p>
      <w:pPr>
        <w:spacing w:line="360" w:lineRule="auto"/>
        <w:ind w:firstLine="480" w:firstLineChars="200"/>
        <w:rPr>
          <w:sz w:val="24"/>
          <w:szCs w:val="24"/>
        </w:rPr>
      </w:pPr>
      <w:r>
        <w:rPr>
          <w:rFonts w:hint="eastAsia"/>
          <w:sz w:val="24"/>
          <w:szCs w:val="24"/>
        </w:rPr>
        <w:t>（9）被责令停业的；</w:t>
      </w:r>
    </w:p>
    <w:p>
      <w:pPr>
        <w:spacing w:line="360" w:lineRule="auto"/>
        <w:ind w:firstLine="480" w:firstLineChars="200"/>
        <w:rPr>
          <w:sz w:val="24"/>
          <w:szCs w:val="24"/>
        </w:rPr>
      </w:pPr>
      <w:r>
        <w:rPr>
          <w:rFonts w:hint="eastAsia"/>
          <w:sz w:val="24"/>
          <w:szCs w:val="24"/>
        </w:rPr>
        <w:t>（10）被暂停或取消投标资格的；</w:t>
      </w:r>
    </w:p>
    <w:p>
      <w:pPr>
        <w:spacing w:line="360" w:lineRule="auto"/>
        <w:ind w:firstLine="480" w:firstLineChars="200"/>
        <w:rPr>
          <w:sz w:val="24"/>
          <w:szCs w:val="24"/>
        </w:rPr>
      </w:pPr>
      <w:r>
        <w:rPr>
          <w:rFonts w:hint="eastAsia"/>
          <w:sz w:val="24"/>
          <w:szCs w:val="24"/>
        </w:rPr>
        <w:t>（11）财产被接管或冻结的；</w:t>
      </w:r>
    </w:p>
    <w:p>
      <w:pPr>
        <w:spacing w:line="360" w:lineRule="auto"/>
        <w:ind w:firstLine="480" w:firstLineChars="200"/>
        <w:rPr>
          <w:sz w:val="24"/>
          <w:szCs w:val="24"/>
        </w:rPr>
      </w:pPr>
      <w:r>
        <w:rPr>
          <w:rFonts w:hint="eastAsia"/>
          <w:sz w:val="24"/>
          <w:szCs w:val="24"/>
        </w:rPr>
        <w:t>4.5中标人的合同质量等级以投标文件承诺质量等级为准。若中标人不能达到承诺质量等级，应返工，由此造成的损失由中标人承担。</w:t>
      </w:r>
    </w:p>
    <w:p>
      <w:pPr>
        <w:spacing w:line="360" w:lineRule="auto"/>
        <w:ind w:firstLine="480" w:firstLineChars="200"/>
        <w:rPr>
          <w:sz w:val="24"/>
          <w:szCs w:val="24"/>
        </w:rPr>
      </w:pPr>
      <w:r>
        <w:rPr>
          <w:rFonts w:hint="eastAsia"/>
          <w:sz w:val="24"/>
          <w:szCs w:val="24"/>
        </w:rPr>
        <w:t>4.6中标人的合同服务期限以投标文件承诺为准。若中标人不能按承诺的服务期限完成服务内容，按逾期违约缴纳违约金。</w:t>
      </w:r>
    </w:p>
    <w:p>
      <w:pPr>
        <w:spacing w:line="360" w:lineRule="auto"/>
        <w:rPr>
          <w:b/>
          <w:bCs/>
          <w:sz w:val="24"/>
          <w:szCs w:val="24"/>
        </w:rPr>
      </w:pPr>
      <w:r>
        <w:rPr>
          <w:rFonts w:hint="eastAsia"/>
          <w:b/>
          <w:bCs/>
          <w:sz w:val="24"/>
          <w:szCs w:val="24"/>
        </w:rPr>
        <w:t>5.投标人投报标段要求</w:t>
      </w:r>
    </w:p>
    <w:p>
      <w:pPr>
        <w:spacing w:line="360" w:lineRule="auto"/>
        <w:ind w:firstLine="480" w:firstLineChars="200"/>
        <w:rPr>
          <w:sz w:val="24"/>
          <w:szCs w:val="24"/>
        </w:rPr>
      </w:pPr>
      <w:r>
        <w:rPr>
          <w:rFonts w:hint="eastAsia"/>
          <w:sz w:val="24"/>
          <w:szCs w:val="24"/>
        </w:rPr>
        <w:t>5.1投标人必须对招标范围内的全部内容进行投标，只投其中部分内容者则其投标文件无效。</w:t>
      </w:r>
    </w:p>
    <w:p>
      <w:pPr>
        <w:spacing w:line="360" w:lineRule="auto"/>
        <w:ind w:firstLine="480" w:firstLineChars="200"/>
        <w:rPr>
          <w:sz w:val="24"/>
          <w:szCs w:val="24"/>
        </w:rPr>
      </w:pPr>
      <w:r>
        <w:rPr>
          <w:rFonts w:hint="eastAsia"/>
          <w:sz w:val="24"/>
          <w:szCs w:val="24"/>
        </w:rPr>
        <w:t>5.2每个投标人对每个标段只能提交一个不变投标预算价，提交或参与了一套以上投标文件和一个以上可变投标报价的投标人将使其参与全部投标文件无效。</w:t>
      </w:r>
    </w:p>
    <w:p>
      <w:pPr>
        <w:spacing w:line="360" w:lineRule="auto"/>
        <w:rPr>
          <w:b/>
          <w:bCs/>
          <w:sz w:val="24"/>
          <w:szCs w:val="24"/>
        </w:rPr>
      </w:pPr>
      <w:r>
        <w:rPr>
          <w:rFonts w:hint="eastAsia"/>
          <w:b/>
          <w:bCs/>
          <w:sz w:val="24"/>
          <w:szCs w:val="24"/>
        </w:rPr>
        <w:t>6.投标费用</w:t>
      </w:r>
    </w:p>
    <w:p>
      <w:pPr>
        <w:spacing w:line="360" w:lineRule="auto"/>
        <w:ind w:firstLine="480" w:firstLineChars="200"/>
        <w:rPr>
          <w:sz w:val="24"/>
          <w:szCs w:val="24"/>
        </w:rPr>
      </w:pPr>
      <w:r>
        <w:rPr>
          <w:rFonts w:hint="eastAsia"/>
          <w:sz w:val="24"/>
          <w:szCs w:val="24"/>
        </w:rPr>
        <w:t>投标人应承担其投标文件编制与递交所涉及的一切费用，包括中标后的招标代理服务费。在任何情况下采购人和采购代理机构对上述费用均不负担任何责任。</w:t>
      </w:r>
    </w:p>
    <w:p>
      <w:pPr>
        <w:spacing w:line="360" w:lineRule="auto"/>
        <w:rPr>
          <w:b/>
          <w:bCs/>
          <w:sz w:val="24"/>
          <w:szCs w:val="24"/>
        </w:rPr>
      </w:pPr>
      <w:r>
        <w:rPr>
          <w:rFonts w:hint="eastAsia"/>
          <w:b/>
          <w:bCs/>
          <w:sz w:val="24"/>
          <w:szCs w:val="24"/>
        </w:rPr>
        <w:t>7.踏勘现场</w:t>
      </w:r>
    </w:p>
    <w:p>
      <w:pPr>
        <w:spacing w:line="360" w:lineRule="auto"/>
        <w:ind w:firstLine="480" w:firstLineChars="200"/>
        <w:rPr>
          <w:sz w:val="24"/>
          <w:szCs w:val="24"/>
        </w:rPr>
      </w:pPr>
      <w:r>
        <w:rPr>
          <w:rFonts w:hint="eastAsia"/>
          <w:sz w:val="24"/>
          <w:szCs w:val="24"/>
        </w:rPr>
        <w:t>7.1踏勘现场：不组织。</w:t>
      </w:r>
    </w:p>
    <w:p>
      <w:pPr>
        <w:spacing w:line="360" w:lineRule="auto"/>
        <w:ind w:firstLine="480" w:firstLineChars="200"/>
        <w:rPr>
          <w:sz w:val="24"/>
          <w:szCs w:val="24"/>
        </w:rPr>
      </w:pPr>
      <w:r>
        <w:rPr>
          <w:rFonts w:hint="eastAsia"/>
          <w:sz w:val="24"/>
          <w:szCs w:val="24"/>
        </w:rPr>
        <w:t>7.2在招标文件和参考资料中采购人提供的资料和数据，是采购人现有的能使投标人利用的资料。采购人对投标人由此而作出的推论、理解和结论概不负责。</w:t>
      </w:r>
    </w:p>
    <w:p>
      <w:pPr>
        <w:spacing w:line="360" w:lineRule="auto"/>
        <w:rPr>
          <w:b/>
          <w:bCs/>
          <w:sz w:val="24"/>
          <w:szCs w:val="24"/>
        </w:rPr>
      </w:pPr>
      <w:r>
        <w:rPr>
          <w:rFonts w:hint="eastAsia"/>
          <w:b/>
          <w:bCs/>
          <w:sz w:val="24"/>
          <w:szCs w:val="24"/>
        </w:rPr>
        <w:t>8.投标预备会</w:t>
      </w:r>
    </w:p>
    <w:p>
      <w:pPr>
        <w:spacing w:line="360" w:lineRule="auto"/>
        <w:ind w:firstLine="480" w:firstLineChars="200"/>
        <w:rPr>
          <w:sz w:val="24"/>
          <w:szCs w:val="24"/>
        </w:rPr>
      </w:pPr>
      <w:r>
        <w:rPr>
          <w:rFonts w:hint="eastAsia"/>
          <w:sz w:val="24"/>
          <w:szCs w:val="24"/>
        </w:rPr>
        <w:t>8.1投标人须知前附表规定召开投标预备会的，采购人按投标人须知前附表规定的时间和地点召开投标预备会，澄清投标人提出的问题。</w:t>
      </w:r>
    </w:p>
    <w:p>
      <w:pPr>
        <w:spacing w:line="360" w:lineRule="auto"/>
        <w:ind w:firstLine="480" w:firstLineChars="200"/>
        <w:rPr>
          <w:sz w:val="24"/>
          <w:szCs w:val="24"/>
        </w:rPr>
      </w:pPr>
      <w:r>
        <w:rPr>
          <w:rFonts w:hint="eastAsia"/>
          <w:sz w:val="24"/>
          <w:szCs w:val="24"/>
        </w:rPr>
        <w:t>8.2投标人应在投标人须知前附表规定的时间前，以书面形式将提出的问题送达采购人，以便采购人在会议期间澄清。</w:t>
      </w:r>
    </w:p>
    <w:p>
      <w:pPr>
        <w:spacing w:line="360" w:lineRule="auto"/>
        <w:ind w:firstLine="480" w:firstLineChars="200"/>
        <w:rPr>
          <w:sz w:val="24"/>
          <w:szCs w:val="24"/>
        </w:rPr>
      </w:pPr>
      <w:r>
        <w:rPr>
          <w:rFonts w:hint="eastAsia"/>
          <w:sz w:val="24"/>
          <w:szCs w:val="24"/>
        </w:rPr>
        <w:t>8.3投标预备会后，采购人在投标人须知前附表规定的时间内，将对投标人所提问题的澄清，以书面形式通知所有购买招标文件的投标人。该澄清内容为招标文件的组成部分。</w:t>
      </w:r>
    </w:p>
    <w:p>
      <w:pPr>
        <w:spacing w:line="360" w:lineRule="auto"/>
        <w:rPr>
          <w:b/>
          <w:bCs/>
          <w:sz w:val="24"/>
          <w:szCs w:val="24"/>
        </w:rPr>
      </w:pPr>
      <w:r>
        <w:rPr>
          <w:rFonts w:hint="eastAsia"/>
          <w:b/>
          <w:bCs/>
          <w:sz w:val="24"/>
          <w:szCs w:val="24"/>
        </w:rPr>
        <w:t>9.分包</w:t>
      </w:r>
    </w:p>
    <w:p>
      <w:pPr>
        <w:spacing w:line="360" w:lineRule="auto"/>
        <w:ind w:firstLine="480" w:firstLineChars="200"/>
        <w:rPr>
          <w:sz w:val="24"/>
          <w:szCs w:val="24"/>
        </w:rPr>
      </w:pPr>
      <w:r>
        <w:rPr>
          <w:rFonts w:hint="eastAsia"/>
          <w:sz w:val="24"/>
          <w:szCs w:val="24"/>
        </w:rPr>
        <w:t>本项目不允许分包或转包。</w:t>
      </w:r>
    </w:p>
    <w:p>
      <w:pPr>
        <w:spacing w:line="360" w:lineRule="auto"/>
        <w:rPr>
          <w:b/>
          <w:bCs/>
          <w:sz w:val="24"/>
          <w:szCs w:val="24"/>
        </w:rPr>
      </w:pPr>
      <w:r>
        <w:rPr>
          <w:rFonts w:hint="eastAsia"/>
          <w:b/>
          <w:bCs/>
          <w:sz w:val="24"/>
          <w:szCs w:val="24"/>
        </w:rPr>
        <w:t>10.偏离</w:t>
      </w:r>
    </w:p>
    <w:p>
      <w:pPr>
        <w:spacing w:line="360" w:lineRule="auto"/>
        <w:ind w:firstLine="480" w:firstLineChars="200"/>
        <w:rPr>
          <w:sz w:val="24"/>
          <w:szCs w:val="24"/>
        </w:rPr>
      </w:pPr>
      <w:r>
        <w:rPr>
          <w:rFonts w:hint="eastAsia"/>
          <w:sz w:val="24"/>
          <w:szCs w:val="24"/>
        </w:rPr>
        <w:t>投标人须知前附表允许投标文件偏离招标文件某些要求的，偏离应当符合招标文件规定的偏离范围和幅度。</w:t>
      </w:r>
    </w:p>
    <w:p>
      <w:pPr>
        <w:spacing w:line="360" w:lineRule="auto"/>
        <w:rPr>
          <w:sz w:val="24"/>
          <w:szCs w:val="24"/>
        </w:rPr>
      </w:pPr>
      <w:r>
        <w:rPr>
          <w:rFonts w:hint="eastAsia"/>
          <w:b/>
          <w:bCs/>
          <w:sz w:val="24"/>
          <w:szCs w:val="24"/>
        </w:rPr>
        <w:t>11.保密</w:t>
      </w:r>
    </w:p>
    <w:p>
      <w:pPr>
        <w:spacing w:line="360" w:lineRule="auto"/>
        <w:ind w:firstLine="480" w:firstLineChars="200"/>
        <w:rPr>
          <w:sz w:val="24"/>
          <w:szCs w:val="24"/>
        </w:rPr>
      </w:pPr>
      <w:r>
        <w:rPr>
          <w:rFonts w:hint="eastAsia"/>
          <w:sz w:val="24"/>
          <w:szCs w:val="24"/>
        </w:rPr>
        <w:t>参与招标投标活动的各方应对招标文件和投标文件中的商业和技术等秘密保密，违者应对由此造成的后果承担法律责任。</w:t>
      </w:r>
    </w:p>
    <w:p>
      <w:pPr>
        <w:spacing w:line="360" w:lineRule="auto"/>
        <w:ind w:firstLine="482" w:firstLineChars="200"/>
        <w:jc w:val="center"/>
        <w:outlineLvl w:val="1"/>
        <w:rPr>
          <w:b/>
          <w:bCs/>
          <w:sz w:val="24"/>
          <w:szCs w:val="24"/>
        </w:rPr>
      </w:pPr>
      <w:bookmarkStart w:id="4" w:name="_Toc21820"/>
      <w:r>
        <w:rPr>
          <w:rFonts w:hint="eastAsia"/>
          <w:b/>
          <w:bCs/>
          <w:sz w:val="24"/>
          <w:szCs w:val="24"/>
        </w:rPr>
        <w:t>二、招标文件</w:t>
      </w:r>
      <w:bookmarkEnd w:id="4"/>
    </w:p>
    <w:p>
      <w:pPr>
        <w:spacing w:line="360" w:lineRule="auto"/>
        <w:rPr>
          <w:b/>
          <w:bCs/>
          <w:sz w:val="24"/>
          <w:szCs w:val="24"/>
        </w:rPr>
      </w:pPr>
      <w:r>
        <w:rPr>
          <w:rFonts w:hint="eastAsia"/>
          <w:b/>
          <w:bCs/>
          <w:sz w:val="24"/>
          <w:szCs w:val="24"/>
        </w:rPr>
        <w:t>12.招标文件的组成 本招标文件包括：</w:t>
      </w:r>
    </w:p>
    <w:p>
      <w:pPr>
        <w:spacing w:line="360" w:lineRule="auto"/>
        <w:ind w:firstLine="480" w:firstLineChars="200"/>
        <w:rPr>
          <w:sz w:val="24"/>
          <w:szCs w:val="24"/>
        </w:rPr>
      </w:pPr>
      <w:r>
        <w:rPr>
          <w:rFonts w:hint="eastAsia"/>
          <w:sz w:val="24"/>
          <w:szCs w:val="24"/>
        </w:rPr>
        <w:t>（1）招标公告</w:t>
      </w:r>
    </w:p>
    <w:p>
      <w:pPr>
        <w:spacing w:line="360" w:lineRule="auto"/>
        <w:ind w:firstLine="480" w:firstLineChars="200"/>
        <w:rPr>
          <w:sz w:val="24"/>
          <w:szCs w:val="24"/>
        </w:rPr>
      </w:pPr>
      <w:r>
        <w:rPr>
          <w:rFonts w:hint="eastAsia"/>
          <w:sz w:val="24"/>
          <w:szCs w:val="24"/>
        </w:rPr>
        <w:t>（2）投标须知</w:t>
      </w:r>
    </w:p>
    <w:p>
      <w:pPr>
        <w:spacing w:line="360" w:lineRule="auto"/>
        <w:ind w:firstLine="480" w:firstLineChars="200"/>
        <w:rPr>
          <w:sz w:val="24"/>
          <w:szCs w:val="24"/>
        </w:rPr>
      </w:pPr>
      <w:r>
        <w:rPr>
          <w:rFonts w:hint="eastAsia"/>
          <w:sz w:val="24"/>
          <w:szCs w:val="24"/>
        </w:rPr>
        <w:t>（3）评标办法</w:t>
      </w:r>
    </w:p>
    <w:p>
      <w:pPr>
        <w:spacing w:line="360" w:lineRule="auto"/>
        <w:ind w:firstLine="480" w:firstLineChars="200"/>
        <w:rPr>
          <w:sz w:val="24"/>
          <w:szCs w:val="24"/>
        </w:rPr>
      </w:pPr>
      <w:r>
        <w:rPr>
          <w:rFonts w:hint="eastAsia"/>
          <w:sz w:val="24"/>
          <w:szCs w:val="24"/>
        </w:rPr>
        <w:t>（4）合同书</w:t>
      </w:r>
    </w:p>
    <w:p>
      <w:pPr>
        <w:spacing w:line="360" w:lineRule="auto"/>
        <w:ind w:firstLine="480" w:firstLineChars="200"/>
        <w:rPr>
          <w:sz w:val="24"/>
          <w:szCs w:val="24"/>
        </w:rPr>
      </w:pPr>
      <w:r>
        <w:rPr>
          <w:rFonts w:hint="eastAsia"/>
          <w:sz w:val="24"/>
          <w:szCs w:val="24"/>
        </w:rPr>
        <w:t>（5）项目内容和要求</w:t>
      </w:r>
    </w:p>
    <w:p>
      <w:pPr>
        <w:spacing w:line="360" w:lineRule="auto"/>
        <w:ind w:firstLine="480" w:firstLineChars="200"/>
        <w:rPr>
          <w:sz w:val="24"/>
          <w:szCs w:val="24"/>
        </w:rPr>
      </w:pPr>
      <w:r>
        <w:rPr>
          <w:rFonts w:hint="eastAsia"/>
          <w:sz w:val="24"/>
          <w:szCs w:val="24"/>
        </w:rPr>
        <w:t>（6）投标文件格式</w:t>
      </w:r>
    </w:p>
    <w:p>
      <w:pPr>
        <w:spacing w:line="360" w:lineRule="auto"/>
        <w:ind w:firstLine="480" w:firstLineChars="200"/>
        <w:rPr>
          <w:sz w:val="24"/>
          <w:szCs w:val="24"/>
        </w:rPr>
      </w:pPr>
      <w:r>
        <w:rPr>
          <w:rFonts w:hint="eastAsia"/>
          <w:sz w:val="24"/>
          <w:szCs w:val="24"/>
        </w:rPr>
        <w:t>对招标文件所作的澄清、修改，构成招标文件的组成部分。</w:t>
      </w:r>
    </w:p>
    <w:p>
      <w:pPr>
        <w:spacing w:line="360" w:lineRule="auto"/>
        <w:rPr>
          <w:b/>
          <w:bCs/>
          <w:sz w:val="24"/>
          <w:szCs w:val="24"/>
        </w:rPr>
      </w:pPr>
      <w:r>
        <w:rPr>
          <w:rFonts w:hint="eastAsia"/>
          <w:b/>
          <w:bCs/>
          <w:sz w:val="24"/>
          <w:szCs w:val="24"/>
        </w:rPr>
        <w:t>13.招标文件的修正、澄清与投标答疑</w:t>
      </w:r>
    </w:p>
    <w:p>
      <w:pPr>
        <w:spacing w:line="360" w:lineRule="auto"/>
        <w:ind w:firstLine="480" w:firstLineChars="200"/>
        <w:rPr>
          <w:sz w:val="24"/>
          <w:szCs w:val="24"/>
        </w:rPr>
      </w:pPr>
      <w:r>
        <w:rPr>
          <w:rFonts w:hint="eastAsia"/>
          <w:sz w:val="24"/>
          <w:szCs w:val="24"/>
        </w:rPr>
        <w:t>13.1投标人从“南阳市公共资源交易中心网”下载招标文件后，应仔细阅读招标文件的全部内容。如有疑问，应及时向采购人提出，以便澄清。</w:t>
      </w:r>
    </w:p>
    <w:p>
      <w:pPr>
        <w:spacing w:line="360" w:lineRule="auto"/>
        <w:ind w:firstLine="480" w:firstLineChars="200"/>
        <w:rPr>
          <w:sz w:val="24"/>
          <w:szCs w:val="24"/>
        </w:rPr>
      </w:pPr>
      <w:r>
        <w:rPr>
          <w:rFonts w:hint="eastAsia"/>
          <w:sz w:val="24"/>
          <w:szCs w:val="24"/>
        </w:rPr>
        <w:t>13.2采购人不集中组织答疑，实行网上提疑和答疑。投标人若对招标文件有疑问，需要采购人予以澄清，应登录“南阳市公共资源交易中心网”以不署名的形式提出。按投标人须知前附表规定时限前提疑。详见《南阳市公共资源交易中心网上招投标系统操作手册》。</w:t>
      </w:r>
    </w:p>
    <w:p>
      <w:pPr>
        <w:spacing w:line="360" w:lineRule="auto"/>
        <w:ind w:firstLine="480" w:firstLineChars="200"/>
        <w:rPr>
          <w:sz w:val="24"/>
          <w:szCs w:val="24"/>
        </w:rPr>
      </w:pPr>
      <w:r>
        <w:rPr>
          <w:rFonts w:hint="eastAsia"/>
          <w:sz w:val="24"/>
          <w:szCs w:val="24"/>
        </w:rPr>
        <w:t>13.3采购人将按投标人须知前附表规定时限前在网上解答招标文件的疑问，并形成招标文件的澄清答疑文件。招标文件的澄清答疑文件将在“南阳市公共资源交易中心网”向所有投标人公示，但不指明来源。</w:t>
      </w:r>
    </w:p>
    <w:p>
      <w:pPr>
        <w:spacing w:line="360" w:lineRule="auto"/>
        <w:ind w:firstLine="480" w:firstLineChars="200"/>
        <w:rPr>
          <w:sz w:val="24"/>
          <w:szCs w:val="24"/>
        </w:rPr>
      </w:pPr>
      <w:r>
        <w:rPr>
          <w:rFonts w:hint="eastAsia"/>
          <w:sz w:val="24"/>
          <w:szCs w:val="24"/>
        </w:rPr>
        <w:t>13.4招标文件发布后，在投标人须知前附表规定时限的任何时候，确需要变更招标文件内容的，采购人可主动或在解答投标人提出的澄清答疑时对招标文件进行修改并同时报招标投标监督部门备案。招标文件的修改以答疑形式在“南阳市公共资源交易中心网”发布，招标文件的答疑作为招标文件的组成部分，并具有约束力。</w:t>
      </w:r>
    </w:p>
    <w:p>
      <w:pPr>
        <w:spacing w:line="360" w:lineRule="auto"/>
        <w:ind w:firstLine="480" w:firstLineChars="200"/>
        <w:rPr>
          <w:sz w:val="24"/>
          <w:szCs w:val="24"/>
        </w:rPr>
      </w:pPr>
      <w:r>
        <w:rPr>
          <w:rFonts w:hint="eastAsia"/>
          <w:sz w:val="24"/>
          <w:szCs w:val="24"/>
        </w:rPr>
        <w:t>13.5招标文件的答疑在“南阳市公共资源交易中心网”公示后，若投标人对招标文件的答疑有需要进一步澄清的，应在24小时内以不署名的形式在“南阳市公共资源交易中心网”提出。</w:t>
      </w:r>
    </w:p>
    <w:p>
      <w:pPr>
        <w:spacing w:line="360" w:lineRule="auto"/>
        <w:ind w:firstLine="480" w:firstLineChars="200"/>
        <w:rPr>
          <w:sz w:val="24"/>
          <w:szCs w:val="24"/>
        </w:rPr>
      </w:pPr>
      <w:r>
        <w:rPr>
          <w:rFonts w:hint="eastAsia"/>
          <w:sz w:val="24"/>
          <w:szCs w:val="24"/>
        </w:rPr>
        <w:t>13.6投标人应注意及时浏览网上发布的澄清和修改通知并下载，因投标人原因未及时获知澄清、修改内容而导致的任何后果，概由投标人自己承担。</w:t>
      </w:r>
    </w:p>
    <w:p>
      <w:pPr>
        <w:spacing w:line="360" w:lineRule="auto"/>
        <w:ind w:firstLine="480" w:firstLineChars="200"/>
        <w:rPr>
          <w:sz w:val="24"/>
          <w:szCs w:val="24"/>
        </w:rPr>
      </w:pPr>
      <w:r>
        <w:rPr>
          <w:rFonts w:hint="eastAsia"/>
          <w:sz w:val="24"/>
          <w:szCs w:val="24"/>
        </w:rPr>
        <w:t>13.7如果澄清、修改招标文件的时间距投标截止时间不足15天，采购人应当顺延提交投标文件的截止时间。</w:t>
      </w:r>
    </w:p>
    <w:p>
      <w:pPr>
        <w:spacing w:line="360" w:lineRule="auto"/>
        <w:ind w:firstLine="480" w:firstLineChars="200"/>
        <w:rPr>
          <w:sz w:val="24"/>
          <w:szCs w:val="24"/>
        </w:rPr>
      </w:pPr>
      <w:r>
        <w:rPr>
          <w:rFonts w:hint="eastAsia"/>
          <w:sz w:val="24"/>
          <w:szCs w:val="24"/>
        </w:rPr>
        <w:t>13.8招标文件的澄清、修改、补充等内容均以网上答疑形式明确的内容为准。当招标文件的澄清、修改、补充等在同一内容的表述上不一致时，以最后发出的网上答疑为准。</w:t>
      </w:r>
    </w:p>
    <w:p>
      <w:pPr>
        <w:spacing w:line="360" w:lineRule="auto"/>
        <w:rPr>
          <w:b/>
          <w:bCs/>
          <w:sz w:val="24"/>
          <w:szCs w:val="24"/>
        </w:rPr>
      </w:pPr>
      <w:r>
        <w:rPr>
          <w:rFonts w:hint="eastAsia"/>
          <w:b/>
          <w:bCs/>
          <w:sz w:val="24"/>
          <w:szCs w:val="24"/>
        </w:rPr>
        <w:t>14.招标文件的解释</w:t>
      </w:r>
    </w:p>
    <w:p>
      <w:pPr>
        <w:spacing w:line="360" w:lineRule="auto"/>
        <w:ind w:firstLine="480" w:firstLineChars="200"/>
        <w:rPr>
          <w:sz w:val="24"/>
          <w:szCs w:val="24"/>
        </w:rPr>
      </w:pPr>
      <w:r>
        <w:rPr>
          <w:rFonts w:hint="eastAsia"/>
          <w:sz w:val="24"/>
          <w:szCs w:val="24"/>
        </w:rPr>
        <w:t>14.1投标人如发现招标文件有互相矛盾的地方或认为文意含糊不清时，应及时向采购人书面提出，采购人做出的解释均以书面为准，采购人对投标人由此而作出的推论、理解和结论概不负责。</w:t>
      </w:r>
    </w:p>
    <w:p>
      <w:pPr>
        <w:spacing w:line="360" w:lineRule="auto"/>
        <w:ind w:firstLine="480" w:firstLineChars="200"/>
        <w:rPr>
          <w:sz w:val="24"/>
          <w:szCs w:val="24"/>
        </w:rPr>
      </w:pPr>
      <w:r>
        <w:rPr>
          <w:rFonts w:hint="eastAsia"/>
          <w:sz w:val="24"/>
          <w:szCs w:val="24"/>
        </w:rPr>
        <w:t>14.2投标人由于对招标文件的误解或忽略导致投标人发生的任何风险，其责任自负,不得向采购人提出任何索赔要求。</w:t>
      </w:r>
    </w:p>
    <w:p>
      <w:pPr>
        <w:spacing w:line="360" w:lineRule="auto"/>
        <w:ind w:firstLine="480" w:firstLineChars="200"/>
        <w:rPr>
          <w:sz w:val="24"/>
          <w:szCs w:val="24"/>
        </w:rPr>
      </w:pPr>
      <w:r>
        <w:rPr>
          <w:rFonts w:hint="eastAsia"/>
          <w:sz w:val="24"/>
          <w:szCs w:val="24"/>
        </w:rPr>
        <w:t>14.3投标人领取招标文件后，应仔细检查招标文件的所有内容，如有残缺或字迹不清之处应在招标文件发出3日内向采购代理机构提出，否则由此引起的后果由投标人自负。</w:t>
      </w:r>
    </w:p>
    <w:p>
      <w:pPr>
        <w:spacing w:line="360" w:lineRule="auto"/>
        <w:ind w:firstLine="480" w:firstLineChars="200"/>
        <w:rPr>
          <w:sz w:val="24"/>
          <w:szCs w:val="24"/>
        </w:rPr>
      </w:pPr>
      <w:r>
        <w:rPr>
          <w:rFonts w:hint="eastAsia"/>
          <w:sz w:val="24"/>
          <w:szCs w:val="24"/>
        </w:rPr>
        <w:t>14.4当招标文件、补充(答疑)文件内容相互矛盾时，以最后发出的文件为准。</w:t>
      </w:r>
    </w:p>
    <w:p>
      <w:pPr>
        <w:spacing w:line="360" w:lineRule="auto"/>
        <w:ind w:firstLine="482" w:firstLineChars="200"/>
        <w:jc w:val="center"/>
        <w:outlineLvl w:val="1"/>
        <w:rPr>
          <w:b/>
          <w:bCs/>
          <w:sz w:val="24"/>
          <w:szCs w:val="24"/>
        </w:rPr>
      </w:pPr>
      <w:bookmarkStart w:id="5" w:name="_Toc22940"/>
      <w:r>
        <w:rPr>
          <w:rFonts w:hint="eastAsia"/>
          <w:b/>
          <w:bCs/>
          <w:sz w:val="24"/>
          <w:szCs w:val="24"/>
        </w:rPr>
        <w:t>三、投标文件</w:t>
      </w:r>
      <w:bookmarkEnd w:id="5"/>
    </w:p>
    <w:p>
      <w:pPr>
        <w:spacing w:line="360" w:lineRule="auto"/>
        <w:rPr>
          <w:b/>
          <w:bCs/>
          <w:sz w:val="24"/>
          <w:szCs w:val="24"/>
        </w:rPr>
      </w:pPr>
      <w:r>
        <w:rPr>
          <w:rFonts w:hint="eastAsia"/>
          <w:b/>
          <w:bCs/>
          <w:sz w:val="24"/>
          <w:szCs w:val="24"/>
        </w:rPr>
        <w:t>15.投标报价</w:t>
      </w:r>
    </w:p>
    <w:p>
      <w:pPr>
        <w:spacing w:line="360" w:lineRule="auto"/>
        <w:ind w:firstLine="480" w:firstLineChars="200"/>
        <w:rPr>
          <w:sz w:val="24"/>
          <w:szCs w:val="24"/>
        </w:rPr>
      </w:pPr>
      <w:r>
        <w:rPr>
          <w:rFonts w:hint="eastAsia"/>
          <w:sz w:val="24"/>
          <w:szCs w:val="24"/>
        </w:rPr>
        <w:t>15.1本次投标报价为含税人民币价。</w:t>
      </w:r>
    </w:p>
    <w:p>
      <w:pPr>
        <w:spacing w:line="360" w:lineRule="auto"/>
        <w:ind w:firstLine="480" w:firstLineChars="200"/>
        <w:rPr>
          <w:sz w:val="24"/>
          <w:szCs w:val="24"/>
        </w:rPr>
      </w:pPr>
      <w:r>
        <w:rPr>
          <w:rFonts w:hint="eastAsia"/>
          <w:sz w:val="24"/>
          <w:szCs w:val="24"/>
        </w:rPr>
        <w:t>15.2投标报价包括完成所有产品供货及履行所有规定服务所产生的全部费用。产品及服务须达到招标文件规定的质量标准及使用要求。</w:t>
      </w:r>
    </w:p>
    <w:p>
      <w:pPr>
        <w:spacing w:line="360" w:lineRule="auto"/>
        <w:ind w:firstLine="480" w:firstLineChars="200"/>
        <w:rPr>
          <w:sz w:val="24"/>
          <w:szCs w:val="24"/>
        </w:rPr>
      </w:pPr>
      <w:r>
        <w:rPr>
          <w:rFonts w:hint="eastAsia"/>
          <w:sz w:val="24"/>
          <w:szCs w:val="24"/>
        </w:rPr>
        <w:t>15.</w:t>
      </w:r>
      <w:r>
        <w:rPr>
          <w:rFonts w:hint="eastAsia"/>
          <w:sz w:val="24"/>
          <w:szCs w:val="24"/>
          <w:lang w:val="en-US"/>
        </w:rPr>
        <w:t>3</w:t>
      </w:r>
      <w:r>
        <w:rPr>
          <w:rFonts w:hint="eastAsia"/>
          <w:sz w:val="24"/>
          <w:szCs w:val="24"/>
        </w:rPr>
        <w:t>所投标项只允许有一个报价，不接受有选择报价的投标文件。</w:t>
      </w:r>
    </w:p>
    <w:p>
      <w:pPr>
        <w:spacing w:line="360" w:lineRule="auto"/>
        <w:rPr>
          <w:b/>
          <w:bCs/>
          <w:sz w:val="24"/>
          <w:szCs w:val="24"/>
        </w:rPr>
      </w:pPr>
      <w:r>
        <w:rPr>
          <w:rFonts w:hint="eastAsia"/>
          <w:b/>
          <w:bCs/>
          <w:sz w:val="24"/>
          <w:szCs w:val="24"/>
        </w:rPr>
        <w:t>16.投标文件的组成</w:t>
      </w:r>
    </w:p>
    <w:p>
      <w:pPr>
        <w:spacing w:line="360" w:lineRule="auto"/>
        <w:ind w:firstLine="480" w:firstLineChars="200"/>
        <w:rPr>
          <w:sz w:val="24"/>
          <w:szCs w:val="24"/>
        </w:rPr>
      </w:pPr>
      <w:r>
        <w:rPr>
          <w:rFonts w:hint="eastAsia"/>
          <w:sz w:val="24"/>
          <w:szCs w:val="24"/>
        </w:rPr>
        <w:t>16.1投标文件应包括下列内容：《详见投标文件格式》。</w:t>
      </w:r>
    </w:p>
    <w:p>
      <w:pPr>
        <w:spacing w:line="360" w:lineRule="auto"/>
        <w:rPr>
          <w:b/>
          <w:bCs/>
          <w:sz w:val="24"/>
          <w:szCs w:val="24"/>
        </w:rPr>
      </w:pPr>
      <w:r>
        <w:rPr>
          <w:rFonts w:hint="eastAsia"/>
          <w:b/>
          <w:bCs/>
          <w:sz w:val="24"/>
          <w:szCs w:val="24"/>
        </w:rPr>
        <w:t>17.投标有效期</w:t>
      </w:r>
    </w:p>
    <w:p>
      <w:pPr>
        <w:spacing w:line="360" w:lineRule="auto"/>
        <w:ind w:firstLine="480" w:firstLineChars="200"/>
        <w:rPr>
          <w:sz w:val="24"/>
          <w:szCs w:val="24"/>
        </w:rPr>
      </w:pPr>
      <w:r>
        <w:rPr>
          <w:rFonts w:hint="eastAsia"/>
          <w:sz w:val="24"/>
          <w:szCs w:val="24"/>
        </w:rPr>
        <w:t>17.1投标有效期自投标截止之日起开始计算60日历天，采购人延长投标有效期，应在开标前3天以书面形式通知所有投标人。</w:t>
      </w:r>
    </w:p>
    <w:p>
      <w:pPr>
        <w:spacing w:line="360" w:lineRule="auto"/>
        <w:ind w:firstLine="480" w:firstLineChars="200"/>
        <w:rPr>
          <w:sz w:val="24"/>
          <w:szCs w:val="24"/>
        </w:rPr>
      </w:pPr>
      <w:r>
        <w:rPr>
          <w:rFonts w:hint="eastAsia"/>
          <w:sz w:val="24"/>
          <w:szCs w:val="24"/>
        </w:rPr>
        <w:t>17.2如果出现特殊情况，采购人可征求投标人同意延长投标有效期。这种要求和投标人的答复均应以书面形式进行。投标人可以拒绝采购人的这种要求，其投标保证金予以返还。同意延长投标有效期的投标人，不需要也不允许修改其投标文件，但需要将其投标保证金延长相同的时间；在延长期内，应满足投标须知第19条款的全部规定。</w:t>
      </w:r>
    </w:p>
    <w:p>
      <w:pPr>
        <w:spacing w:line="360" w:lineRule="auto"/>
        <w:rPr>
          <w:b/>
          <w:bCs/>
          <w:sz w:val="24"/>
          <w:szCs w:val="24"/>
        </w:rPr>
      </w:pPr>
      <w:r>
        <w:rPr>
          <w:rFonts w:hint="eastAsia"/>
          <w:b/>
          <w:bCs/>
          <w:sz w:val="24"/>
          <w:szCs w:val="24"/>
        </w:rPr>
        <w:t>18.资格审查资料</w:t>
      </w:r>
    </w:p>
    <w:p>
      <w:pPr>
        <w:spacing w:line="360" w:lineRule="auto"/>
        <w:ind w:firstLine="480" w:firstLineChars="200"/>
        <w:rPr>
          <w:sz w:val="24"/>
          <w:szCs w:val="24"/>
        </w:rPr>
      </w:pPr>
      <w:r>
        <w:rPr>
          <w:rFonts w:hint="eastAsia"/>
          <w:sz w:val="24"/>
          <w:szCs w:val="24"/>
        </w:rPr>
        <w:t>见投标人须知前附表。</w:t>
      </w:r>
    </w:p>
    <w:p>
      <w:pPr>
        <w:spacing w:line="360" w:lineRule="auto"/>
        <w:rPr>
          <w:sz w:val="24"/>
          <w:szCs w:val="24"/>
        </w:rPr>
      </w:pPr>
      <w:r>
        <w:rPr>
          <w:rFonts w:hint="eastAsia"/>
          <w:b/>
          <w:bCs/>
          <w:sz w:val="24"/>
          <w:szCs w:val="24"/>
        </w:rPr>
        <w:t>19.投标文件的编写</w:t>
      </w:r>
    </w:p>
    <w:p>
      <w:pPr>
        <w:spacing w:line="360" w:lineRule="auto"/>
        <w:ind w:firstLine="480" w:firstLineChars="200"/>
        <w:rPr>
          <w:sz w:val="24"/>
          <w:szCs w:val="24"/>
        </w:rPr>
      </w:pPr>
      <w:r>
        <w:rPr>
          <w:rFonts w:hint="eastAsia"/>
          <w:sz w:val="24"/>
          <w:szCs w:val="24"/>
        </w:rPr>
        <w:t>19.1投标文件应按第六章“投标文件格式”进行编写，如有必要，可以增加附页，作为投标文件的组成部分。其中，报价函附录在满足招标文件实质性要求的基础上，可以提出比招标文件要求更有利于采购人的承诺。</w:t>
      </w:r>
    </w:p>
    <w:p>
      <w:pPr>
        <w:spacing w:line="360" w:lineRule="auto"/>
        <w:ind w:firstLine="480" w:firstLineChars="200"/>
        <w:rPr>
          <w:sz w:val="24"/>
          <w:szCs w:val="24"/>
        </w:rPr>
      </w:pPr>
      <w:r>
        <w:rPr>
          <w:rFonts w:hint="eastAsia"/>
          <w:sz w:val="24"/>
          <w:szCs w:val="24"/>
        </w:rPr>
        <w:t>19.2投标文件的制作应满足以下规定:</w:t>
      </w:r>
    </w:p>
    <w:p>
      <w:pPr>
        <w:spacing w:line="360" w:lineRule="auto"/>
        <w:ind w:firstLine="480" w:firstLineChars="200"/>
        <w:rPr>
          <w:sz w:val="24"/>
          <w:szCs w:val="24"/>
        </w:rPr>
      </w:pPr>
      <w:r>
        <w:rPr>
          <w:rFonts w:hint="eastAsia"/>
          <w:sz w:val="24"/>
          <w:szCs w:val="24"/>
        </w:rPr>
        <w:t>（1）投标文件由投标人使用“电子交易平台”自带的“投标文件制作工具”制作生成。</w:t>
      </w:r>
    </w:p>
    <w:p>
      <w:pPr>
        <w:spacing w:line="360" w:lineRule="auto"/>
        <w:ind w:firstLine="480" w:firstLineChars="200"/>
        <w:rPr>
          <w:sz w:val="24"/>
          <w:szCs w:val="24"/>
        </w:rPr>
      </w:pPr>
      <w:r>
        <w:rPr>
          <w:rFonts w:hint="eastAsia"/>
          <w:sz w:val="24"/>
          <w:szCs w:val="24"/>
        </w:rPr>
        <w:t>（2）投标人在编制投标文件时应建立分级目录，并按照标签提示导入对应相关内容。</w:t>
      </w:r>
    </w:p>
    <w:p>
      <w:pPr>
        <w:spacing w:line="360" w:lineRule="auto"/>
        <w:ind w:firstLine="480" w:firstLineChars="200"/>
        <w:rPr>
          <w:sz w:val="24"/>
          <w:szCs w:val="24"/>
        </w:rPr>
      </w:pPr>
      <w:r>
        <w:rPr>
          <w:rFonts w:hint="eastAsia"/>
          <w:sz w:val="24"/>
          <w:szCs w:val="24"/>
        </w:rPr>
        <w:t>（3）第六章“投标文件格式”中要求电子签章和（或）签字的地方，投标人均应使用 CA 数字证书加盖投标人的单位电子印章和（或）法定代表人的个人电子印章或签字或电子签名章。</w:t>
      </w:r>
    </w:p>
    <w:p>
      <w:pPr>
        <w:spacing w:line="360" w:lineRule="auto"/>
        <w:ind w:firstLine="480" w:firstLineChars="200"/>
        <w:rPr>
          <w:sz w:val="24"/>
          <w:szCs w:val="24"/>
        </w:rPr>
      </w:pPr>
      <w:r>
        <w:rPr>
          <w:rFonts w:hint="eastAsia"/>
          <w:sz w:val="24"/>
          <w:szCs w:val="24"/>
        </w:rPr>
        <w:t>（4）投标文件制作完成后，投标人应使用 CA 数字证书对投标文件进行文件加密， 形成加密的投标文件。</w:t>
      </w:r>
    </w:p>
    <w:p>
      <w:pPr>
        <w:spacing w:line="360" w:lineRule="auto"/>
        <w:ind w:firstLine="480" w:firstLineChars="200"/>
        <w:rPr>
          <w:sz w:val="24"/>
          <w:szCs w:val="24"/>
        </w:rPr>
      </w:pPr>
      <w:r>
        <w:rPr>
          <w:rFonts w:hint="eastAsia"/>
          <w:sz w:val="24"/>
          <w:szCs w:val="24"/>
        </w:rPr>
        <w:t>19.3因投标人自身原因而导致投标文件无法导入“电子交易平台”电子开标、评标系统，该投标视为无效投标，投标人自行承担由此导致的全部责任。</w:t>
      </w:r>
    </w:p>
    <w:p>
      <w:pPr>
        <w:spacing w:line="360" w:lineRule="auto"/>
        <w:ind w:firstLine="480" w:firstLineChars="200"/>
        <w:rPr>
          <w:sz w:val="24"/>
          <w:szCs w:val="24"/>
        </w:rPr>
      </w:pPr>
      <w:r>
        <w:rPr>
          <w:rFonts w:hint="eastAsia"/>
          <w:sz w:val="24"/>
          <w:szCs w:val="24"/>
        </w:rPr>
        <w:t>19.4中标人需提供的投标文件纸质版的要求见投标人须知前附表。</w:t>
      </w:r>
    </w:p>
    <w:p>
      <w:pPr>
        <w:spacing w:line="360" w:lineRule="auto"/>
        <w:ind w:firstLine="480" w:firstLineChars="200"/>
        <w:rPr>
          <w:sz w:val="24"/>
          <w:szCs w:val="24"/>
        </w:rPr>
      </w:pPr>
      <w:r>
        <w:rPr>
          <w:rFonts w:hint="eastAsia"/>
          <w:sz w:val="24"/>
          <w:szCs w:val="24"/>
        </w:rPr>
        <w:t>19.5电子投标文件中的图片应清晰可辩，否则所导致的一切后果由投标人自行承担。</w:t>
      </w:r>
    </w:p>
    <w:p>
      <w:pPr>
        <w:spacing w:line="360" w:lineRule="auto"/>
        <w:ind w:firstLine="480" w:firstLineChars="200"/>
        <w:rPr>
          <w:sz w:val="24"/>
          <w:szCs w:val="24"/>
        </w:rPr>
      </w:pPr>
      <w:r>
        <w:rPr>
          <w:rFonts w:hint="eastAsia"/>
          <w:sz w:val="24"/>
          <w:szCs w:val="24"/>
        </w:rPr>
        <w:t>19.6投标文件文字：投标文件均以中文印制，中文以外的文字应附以中文译文，中外文不符时以中文为准。</w:t>
      </w:r>
    </w:p>
    <w:p>
      <w:pPr>
        <w:spacing w:line="360" w:lineRule="auto"/>
        <w:rPr>
          <w:b/>
          <w:bCs/>
          <w:sz w:val="24"/>
          <w:szCs w:val="24"/>
        </w:rPr>
      </w:pPr>
      <w:r>
        <w:rPr>
          <w:rFonts w:hint="eastAsia"/>
          <w:b/>
          <w:bCs/>
          <w:sz w:val="24"/>
          <w:szCs w:val="24"/>
        </w:rPr>
        <w:t>20.投标文件计量单位</w:t>
      </w:r>
    </w:p>
    <w:p>
      <w:pPr>
        <w:spacing w:line="360" w:lineRule="auto"/>
        <w:ind w:firstLine="480" w:firstLineChars="200"/>
        <w:rPr>
          <w:sz w:val="24"/>
          <w:szCs w:val="24"/>
        </w:rPr>
      </w:pPr>
      <w:r>
        <w:rPr>
          <w:rFonts w:hint="eastAsia"/>
          <w:sz w:val="24"/>
          <w:szCs w:val="24"/>
        </w:rPr>
        <w:t>20.1投标文件计量单位：除在招标文件的技术规格中有规定的之外，计量单位使用中华人民共和国法定计量单位。</w:t>
      </w:r>
    </w:p>
    <w:p>
      <w:pPr>
        <w:spacing w:line="360" w:lineRule="auto"/>
        <w:ind w:firstLine="482" w:firstLineChars="200"/>
        <w:jc w:val="center"/>
        <w:outlineLvl w:val="1"/>
        <w:rPr>
          <w:sz w:val="24"/>
          <w:szCs w:val="24"/>
        </w:rPr>
      </w:pPr>
      <w:bookmarkStart w:id="6" w:name="_Toc4489"/>
      <w:r>
        <w:rPr>
          <w:rFonts w:hint="eastAsia"/>
          <w:b/>
          <w:bCs/>
          <w:sz w:val="24"/>
          <w:szCs w:val="24"/>
        </w:rPr>
        <w:t>四、投标文件的提交</w:t>
      </w:r>
      <w:bookmarkEnd w:id="6"/>
    </w:p>
    <w:p>
      <w:pPr>
        <w:spacing w:line="360" w:lineRule="auto"/>
        <w:rPr>
          <w:sz w:val="24"/>
          <w:szCs w:val="24"/>
        </w:rPr>
      </w:pPr>
      <w:r>
        <w:rPr>
          <w:rFonts w:hint="eastAsia"/>
          <w:b/>
          <w:bCs/>
          <w:sz w:val="24"/>
          <w:szCs w:val="24"/>
        </w:rPr>
        <w:t>21.投标截止期</w:t>
      </w:r>
    </w:p>
    <w:p>
      <w:pPr>
        <w:spacing w:line="360" w:lineRule="auto"/>
        <w:ind w:firstLine="480" w:firstLineChars="200"/>
        <w:rPr>
          <w:sz w:val="24"/>
          <w:szCs w:val="24"/>
        </w:rPr>
      </w:pPr>
      <w:r>
        <w:rPr>
          <w:rFonts w:hint="eastAsia"/>
          <w:sz w:val="24"/>
          <w:szCs w:val="24"/>
        </w:rPr>
        <w:t>21.1投标截止期:见投标须知前附表。</w:t>
      </w:r>
    </w:p>
    <w:p>
      <w:pPr>
        <w:spacing w:line="360" w:lineRule="auto"/>
        <w:ind w:firstLine="480" w:firstLineChars="200"/>
        <w:rPr>
          <w:sz w:val="24"/>
          <w:szCs w:val="24"/>
        </w:rPr>
      </w:pPr>
      <w:r>
        <w:rPr>
          <w:rFonts w:hint="eastAsia"/>
          <w:sz w:val="24"/>
          <w:szCs w:val="24"/>
        </w:rPr>
        <w:t>21.2采购人可以根据投标须知第13条款的规定发出补充文件并酌情延长投标截止期限。在上述情况下，采购人与投标人在原投标截止期方面的全部权力和义务将适用于延长后新的投标截止期。</w:t>
      </w:r>
    </w:p>
    <w:p>
      <w:pPr>
        <w:spacing w:line="360" w:lineRule="auto"/>
        <w:rPr>
          <w:sz w:val="24"/>
          <w:szCs w:val="24"/>
        </w:rPr>
      </w:pPr>
      <w:r>
        <w:rPr>
          <w:rFonts w:hint="eastAsia"/>
          <w:b/>
          <w:bCs/>
          <w:sz w:val="24"/>
          <w:szCs w:val="24"/>
        </w:rPr>
        <w:t>22.迟到的电子投标文件</w:t>
      </w:r>
    </w:p>
    <w:p>
      <w:pPr>
        <w:spacing w:line="360" w:lineRule="auto"/>
        <w:ind w:firstLine="480" w:firstLineChars="200"/>
        <w:rPr>
          <w:sz w:val="24"/>
          <w:szCs w:val="24"/>
        </w:rPr>
      </w:pPr>
      <w:r>
        <w:rPr>
          <w:rFonts w:hint="eastAsia"/>
          <w:sz w:val="24"/>
          <w:szCs w:val="24"/>
        </w:rPr>
        <w:t>采购人在规定的投标截止期以后将拒绝接受投标人的电子投标文件。</w:t>
      </w:r>
    </w:p>
    <w:p>
      <w:pPr>
        <w:spacing w:line="360" w:lineRule="auto"/>
        <w:rPr>
          <w:b/>
          <w:bCs/>
          <w:sz w:val="24"/>
          <w:szCs w:val="24"/>
        </w:rPr>
      </w:pPr>
      <w:r>
        <w:rPr>
          <w:rFonts w:hint="eastAsia"/>
          <w:b/>
          <w:bCs/>
          <w:sz w:val="24"/>
          <w:szCs w:val="24"/>
        </w:rPr>
        <w:t>23.投标文件的修改与撤回</w:t>
      </w:r>
    </w:p>
    <w:p>
      <w:pPr>
        <w:spacing w:line="360" w:lineRule="auto"/>
        <w:ind w:firstLine="480" w:firstLineChars="200"/>
        <w:rPr>
          <w:sz w:val="24"/>
          <w:szCs w:val="24"/>
        </w:rPr>
      </w:pPr>
      <w:r>
        <w:rPr>
          <w:rFonts w:hint="eastAsia"/>
          <w:sz w:val="24"/>
          <w:szCs w:val="24"/>
        </w:rPr>
        <w:t>23.1在投标人须知前附表规定的投标截止时间前，投标人可以修改或撤回已上传的电子投标文件，最终电子投标文件以投标截止时间前完成上传至南阳市公共资源交易中心网交易系统最后一份投标文件为准。</w:t>
      </w:r>
    </w:p>
    <w:p>
      <w:pPr>
        <w:spacing w:line="360" w:lineRule="auto"/>
        <w:ind w:firstLine="480" w:firstLineChars="200"/>
        <w:rPr>
          <w:sz w:val="24"/>
          <w:szCs w:val="24"/>
        </w:rPr>
      </w:pPr>
      <w:r>
        <w:rPr>
          <w:rFonts w:hint="eastAsia"/>
          <w:sz w:val="24"/>
          <w:szCs w:val="24"/>
        </w:rPr>
        <w:t>23.2在投标截止期与投标有效期(包括延长的投标有效期)终止时间之间，投标人不能撤回投标文件。</w:t>
      </w:r>
    </w:p>
    <w:p>
      <w:pPr>
        <w:spacing w:line="360" w:lineRule="auto"/>
        <w:ind w:firstLine="482" w:firstLineChars="200"/>
        <w:jc w:val="center"/>
        <w:outlineLvl w:val="1"/>
        <w:rPr>
          <w:b/>
          <w:bCs/>
          <w:sz w:val="24"/>
          <w:szCs w:val="24"/>
        </w:rPr>
      </w:pPr>
      <w:bookmarkStart w:id="7" w:name="_Toc22471"/>
      <w:r>
        <w:rPr>
          <w:rFonts w:hint="eastAsia"/>
          <w:b/>
          <w:bCs/>
          <w:sz w:val="24"/>
          <w:szCs w:val="24"/>
        </w:rPr>
        <w:t>五、开标</w:t>
      </w:r>
      <w:bookmarkEnd w:id="7"/>
    </w:p>
    <w:p>
      <w:pPr>
        <w:spacing w:line="360" w:lineRule="auto"/>
        <w:rPr>
          <w:b/>
          <w:bCs/>
          <w:sz w:val="24"/>
          <w:szCs w:val="24"/>
        </w:rPr>
      </w:pPr>
      <w:r>
        <w:rPr>
          <w:rFonts w:hint="eastAsia"/>
          <w:b/>
          <w:bCs/>
          <w:sz w:val="24"/>
          <w:szCs w:val="24"/>
        </w:rPr>
        <w:t>24.开标</w:t>
      </w:r>
    </w:p>
    <w:p>
      <w:pPr>
        <w:spacing w:line="360" w:lineRule="auto"/>
        <w:ind w:firstLine="480" w:firstLineChars="200"/>
        <w:rPr>
          <w:sz w:val="24"/>
          <w:szCs w:val="24"/>
        </w:rPr>
      </w:pPr>
      <w:r>
        <w:rPr>
          <w:rFonts w:hint="eastAsia"/>
          <w:sz w:val="24"/>
          <w:szCs w:val="24"/>
        </w:rPr>
        <w:t>24.1采购人在投标人须知前附表规定的投标截止时间(开标时间)和地点公开开标。</w:t>
      </w:r>
    </w:p>
    <w:p>
      <w:pPr>
        <w:spacing w:line="360" w:lineRule="auto"/>
        <w:rPr>
          <w:b/>
          <w:bCs/>
          <w:sz w:val="24"/>
          <w:szCs w:val="24"/>
        </w:rPr>
      </w:pPr>
      <w:r>
        <w:rPr>
          <w:rFonts w:hint="eastAsia"/>
          <w:b/>
          <w:bCs/>
          <w:sz w:val="24"/>
          <w:szCs w:val="24"/>
        </w:rPr>
        <w:t>25.开标程序</w:t>
      </w:r>
    </w:p>
    <w:p>
      <w:pPr>
        <w:spacing w:line="360" w:lineRule="auto"/>
        <w:ind w:firstLine="480" w:firstLineChars="200"/>
        <w:rPr>
          <w:sz w:val="24"/>
          <w:szCs w:val="24"/>
        </w:rPr>
      </w:pPr>
      <w:r>
        <w:rPr>
          <w:rFonts w:hint="eastAsia"/>
          <w:sz w:val="24"/>
          <w:szCs w:val="24"/>
        </w:rPr>
        <w:t>25.1 详见投标须知前附表；</w:t>
      </w:r>
    </w:p>
    <w:p>
      <w:pPr>
        <w:spacing w:line="360" w:lineRule="auto"/>
        <w:ind w:firstLine="482" w:firstLineChars="200"/>
        <w:jc w:val="center"/>
        <w:outlineLvl w:val="1"/>
        <w:rPr>
          <w:b/>
          <w:bCs/>
          <w:sz w:val="24"/>
          <w:szCs w:val="24"/>
        </w:rPr>
      </w:pPr>
      <w:bookmarkStart w:id="8" w:name="_Toc17255"/>
      <w:r>
        <w:rPr>
          <w:rFonts w:hint="eastAsia"/>
          <w:b/>
          <w:bCs/>
          <w:sz w:val="24"/>
          <w:szCs w:val="24"/>
        </w:rPr>
        <w:t>六、评标</w:t>
      </w:r>
      <w:bookmarkEnd w:id="8"/>
    </w:p>
    <w:p>
      <w:pPr>
        <w:spacing w:line="360" w:lineRule="auto"/>
        <w:rPr>
          <w:b/>
          <w:bCs/>
          <w:sz w:val="24"/>
          <w:szCs w:val="24"/>
        </w:rPr>
      </w:pPr>
      <w:r>
        <w:rPr>
          <w:rFonts w:hint="eastAsia"/>
          <w:b/>
          <w:bCs/>
          <w:sz w:val="24"/>
          <w:szCs w:val="24"/>
        </w:rPr>
        <w:t>26.评标委员会</w:t>
      </w:r>
    </w:p>
    <w:p>
      <w:pPr>
        <w:spacing w:line="360" w:lineRule="auto"/>
        <w:ind w:firstLine="480" w:firstLineChars="200"/>
        <w:rPr>
          <w:sz w:val="24"/>
          <w:szCs w:val="24"/>
        </w:rPr>
      </w:pPr>
      <w:r>
        <w:rPr>
          <w:rFonts w:hint="eastAsia"/>
          <w:sz w:val="24"/>
          <w:szCs w:val="24"/>
        </w:rPr>
        <w:t>26.1评标由采购人依法组建的评标委员会负责。评标委员会应当从有关部门依法设立的评标专家库中确定评标委员会成员。评标委员会成员人数以及技术、经济等方面专家的确定方式见投标人须知前附表。</w:t>
      </w:r>
    </w:p>
    <w:p>
      <w:pPr>
        <w:spacing w:line="360" w:lineRule="auto"/>
        <w:ind w:firstLine="480" w:firstLineChars="200"/>
        <w:rPr>
          <w:sz w:val="24"/>
          <w:szCs w:val="24"/>
        </w:rPr>
      </w:pPr>
      <w:r>
        <w:rPr>
          <w:rFonts w:hint="eastAsia"/>
          <w:sz w:val="24"/>
          <w:szCs w:val="24"/>
        </w:rPr>
        <w:t>26.2评标委员会成员有下列情形之一的，应当回避：</w:t>
      </w:r>
    </w:p>
    <w:p>
      <w:pPr>
        <w:spacing w:line="360" w:lineRule="auto"/>
        <w:ind w:firstLine="480" w:firstLineChars="200"/>
        <w:rPr>
          <w:sz w:val="24"/>
          <w:szCs w:val="24"/>
        </w:rPr>
      </w:pPr>
      <w:r>
        <w:rPr>
          <w:rFonts w:hint="eastAsia"/>
          <w:sz w:val="24"/>
          <w:szCs w:val="24"/>
        </w:rPr>
        <w:t>（1）采购人或投标人的主要负责人的近亲属；</w:t>
      </w:r>
    </w:p>
    <w:p>
      <w:pPr>
        <w:spacing w:line="360" w:lineRule="auto"/>
        <w:ind w:firstLine="480" w:firstLineChars="200"/>
        <w:rPr>
          <w:sz w:val="24"/>
          <w:szCs w:val="24"/>
        </w:rPr>
      </w:pPr>
      <w:r>
        <w:rPr>
          <w:rFonts w:hint="eastAsia"/>
          <w:sz w:val="24"/>
          <w:szCs w:val="24"/>
        </w:rPr>
        <w:t>（2）项目主管部门或者行政监督部门的人员；</w:t>
      </w:r>
    </w:p>
    <w:p>
      <w:pPr>
        <w:spacing w:line="360" w:lineRule="auto"/>
        <w:ind w:firstLine="480" w:firstLineChars="200"/>
        <w:rPr>
          <w:sz w:val="24"/>
          <w:szCs w:val="24"/>
        </w:rPr>
      </w:pPr>
      <w:r>
        <w:rPr>
          <w:rFonts w:hint="eastAsia"/>
          <w:sz w:val="24"/>
          <w:szCs w:val="24"/>
        </w:rPr>
        <w:t>（3）与投标人有经济利益关系，可能影响对投标公正评审的；</w:t>
      </w:r>
    </w:p>
    <w:p>
      <w:pPr>
        <w:spacing w:line="360" w:lineRule="auto"/>
        <w:ind w:firstLine="480" w:firstLineChars="200"/>
        <w:rPr>
          <w:sz w:val="24"/>
          <w:szCs w:val="24"/>
        </w:rPr>
      </w:pPr>
      <w:r>
        <w:rPr>
          <w:rFonts w:hint="eastAsia"/>
          <w:sz w:val="24"/>
          <w:szCs w:val="24"/>
        </w:rPr>
        <w:t>（4）曾因在招标、评标以及其他与招标投标有关活动中从事违法行为而受过行政处罚或刑事处罚的。</w:t>
      </w:r>
    </w:p>
    <w:p>
      <w:pPr>
        <w:spacing w:line="360" w:lineRule="auto"/>
        <w:rPr>
          <w:sz w:val="24"/>
          <w:szCs w:val="24"/>
        </w:rPr>
      </w:pPr>
      <w:r>
        <w:rPr>
          <w:rFonts w:hint="eastAsia"/>
          <w:b/>
          <w:bCs/>
          <w:sz w:val="24"/>
          <w:szCs w:val="24"/>
        </w:rPr>
        <w:t>27.评标原则</w:t>
      </w:r>
    </w:p>
    <w:p>
      <w:pPr>
        <w:spacing w:line="360" w:lineRule="auto"/>
        <w:ind w:firstLine="480" w:firstLineChars="200"/>
        <w:rPr>
          <w:sz w:val="24"/>
          <w:szCs w:val="24"/>
        </w:rPr>
      </w:pPr>
      <w:r>
        <w:rPr>
          <w:rFonts w:hint="eastAsia"/>
          <w:sz w:val="24"/>
          <w:szCs w:val="24"/>
        </w:rPr>
        <w:t>评标活动遵循公平、公正、科学和择优的原则。</w:t>
      </w:r>
    </w:p>
    <w:p>
      <w:pPr>
        <w:spacing w:line="360" w:lineRule="auto"/>
        <w:rPr>
          <w:b/>
          <w:bCs/>
          <w:sz w:val="24"/>
          <w:szCs w:val="24"/>
        </w:rPr>
      </w:pPr>
      <w:r>
        <w:rPr>
          <w:rFonts w:hint="eastAsia"/>
          <w:b/>
          <w:bCs/>
          <w:sz w:val="24"/>
          <w:szCs w:val="24"/>
        </w:rPr>
        <w:t>28.评标</w:t>
      </w:r>
    </w:p>
    <w:p>
      <w:pPr>
        <w:spacing w:line="360" w:lineRule="auto"/>
        <w:ind w:firstLine="480" w:firstLineChars="200"/>
        <w:rPr>
          <w:sz w:val="24"/>
          <w:szCs w:val="24"/>
        </w:rPr>
      </w:pPr>
      <w:r>
        <w:rPr>
          <w:rFonts w:hint="eastAsia"/>
          <w:sz w:val="24"/>
          <w:szCs w:val="24"/>
        </w:rPr>
        <w:t>评标委员会严格按照第三章“评标办法”规定的方法、评审因素、标准和程序对投标文件进行评审。第三章“评标办法”没有规定的方法、评审因素和标准，不作为评标依据。</w:t>
      </w:r>
    </w:p>
    <w:p>
      <w:pPr>
        <w:spacing w:line="360" w:lineRule="auto"/>
        <w:ind w:firstLine="482" w:firstLineChars="200"/>
        <w:jc w:val="center"/>
        <w:outlineLvl w:val="1"/>
        <w:rPr>
          <w:sz w:val="24"/>
          <w:szCs w:val="24"/>
        </w:rPr>
      </w:pPr>
      <w:bookmarkStart w:id="9" w:name="_Toc27690"/>
      <w:r>
        <w:rPr>
          <w:rFonts w:hint="eastAsia"/>
          <w:b/>
          <w:bCs/>
          <w:sz w:val="24"/>
          <w:szCs w:val="24"/>
        </w:rPr>
        <w:t>七、合同授予</w:t>
      </w:r>
      <w:bookmarkEnd w:id="9"/>
    </w:p>
    <w:p>
      <w:pPr>
        <w:spacing w:line="360" w:lineRule="auto"/>
        <w:rPr>
          <w:sz w:val="24"/>
          <w:szCs w:val="24"/>
        </w:rPr>
      </w:pPr>
      <w:r>
        <w:rPr>
          <w:rFonts w:hint="eastAsia"/>
          <w:b/>
          <w:bCs/>
          <w:sz w:val="24"/>
          <w:szCs w:val="24"/>
        </w:rPr>
        <w:t>29.定标方式</w:t>
      </w:r>
    </w:p>
    <w:p>
      <w:pPr>
        <w:spacing w:line="360" w:lineRule="auto"/>
        <w:ind w:firstLine="480" w:firstLineChars="200"/>
        <w:rPr>
          <w:sz w:val="24"/>
          <w:szCs w:val="24"/>
        </w:rPr>
      </w:pPr>
      <w:r>
        <w:rPr>
          <w:rFonts w:hint="eastAsia"/>
          <w:sz w:val="24"/>
          <w:szCs w:val="24"/>
        </w:rPr>
        <w:t>除投标人须知前附表规定评标委员会直接确定中标人外，采购人依据评标委员会推荐的中标候选人确定中标人，评标委员会推荐中标候选人的人数见投标人须知前附表。</w:t>
      </w:r>
    </w:p>
    <w:p>
      <w:pPr>
        <w:spacing w:line="360" w:lineRule="auto"/>
        <w:rPr>
          <w:b/>
          <w:bCs/>
          <w:sz w:val="24"/>
          <w:szCs w:val="24"/>
        </w:rPr>
      </w:pPr>
      <w:r>
        <w:rPr>
          <w:rFonts w:hint="eastAsia"/>
          <w:b/>
          <w:bCs/>
          <w:sz w:val="24"/>
          <w:szCs w:val="24"/>
        </w:rPr>
        <w:t>30.中标通知</w:t>
      </w:r>
    </w:p>
    <w:p>
      <w:pPr>
        <w:spacing w:line="360" w:lineRule="auto"/>
        <w:ind w:firstLine="480" w:firstLineChars="200"/>
        <w:rPr>
          <w:sz w:val="24"/>
          <w:szCs w:val="24"/>
        </w:rPr>
      </w:pPr>
      <w:r>
        <w:rPr>
          <w:rFonts w:hint="eastAsia"/>
          <w:sz w:val="24"/>
          <w:szCs w:val="24"/>
        </w:rPr>
        <w:t>在投标有效期内，采购人以书面形式向中标人发出中标通知书，同时将中标结果通知未中标的投标人。对未中标的投标人，不做任何未中标原因的解释。所有投标文件不予退还。</w:t>
      </w:r>
    </w:p>
    <w:p>
      <w:pPr>
        <w:spacing w:line="360" w:lineRule="auto"/>
        <w:rPr>
          <w:sz w:val="24"/>
          <w:szCs w:val="24"/>
        </w:rPr>
      </w:pPr>
      <w:r>
        <w:rPr>
          <w:rFonts w:hint="eastAsia"/>
          <w:b/>
          <w:bCs/>
          <w:sz w:val="24"/>
          <w:szCs w:val="24"/>
        </w:rPr>
        <w:t>31.签订合同</w:t>
      </w:r>
    </w:p>
    <w:p>
      <w:pPr>
        <w:spacing w:line="360" w:lineRule="auto"/>
        <w:ind w:firstLine="480" w:firstLineChars="200"/>
        <w:rPr>
          <w:sz w:val="24"/>
          <w:szCs w:val="24"/>
        </w:rPr>
      </w:pPr>
      <w:r>
        <w:rPr>
          <w:rFonts w:hint="eastAsia"/>
          <w:sz w:val="24"/>
          <w:szCs w:val="24"/>
        </w:rPr>
        <w:t>31.1采购人和中标人应当自中标通知书发出之日起30天内，根据招标文件和中标人的投标文件订立书面合同。中标人无正当理由拒签合同的，采购人取消其中标资格；给采购人造成损失的，中标人应当予以赔偿。</w:t>
      </w:r>
    </w:p>
    <w:p>
      <w:pPr>
        <w:spacing w:line="360" w:lineRule="auto"/>
        <w:ind w:firstLine="480" w:firstLineChars="200"/>
        <w:rPr>
          <w:sz w:val="24"/>
          <w:szCs w:val="24"/>
        </w:rPr>
      </w:pPr>
      <w:r>
        <w:rPr>
          <w:rFonts w:hint="eastAsia"/>
          <w:sz w:val="24"/>
          <w:szCs w:val="24"/>
        </w:rPr>
        <w:t>31.2发出中标通知书后，采购人无正当理由拒签合同的，采购人需承担相应的违约责任；给中标人造成损失的，还应当赔偿损失。</w:t>
      </w:r>
    </w:p>
    <w:p>
      <w:pPr>
        <w:spacing w:line="360" w:lineRule="auto"/>
        <w:ind w:firstLine="482" w:firstLineChars="200"/>
        <w:jc w:val="center"/>
        <w:outlineLvl w:val="1"/>
        <w:rPr>
          <w:sz w:val="24"/>
          <w:szCs w:val="24"/>
        </w:rPr>
      </w:pPr>
      <w:bookmarkStart w:id="10" w:name="_Toc31466"/>
      <w:r>
        <w:rPr>
          <w:rFonts w:hint="eastAsia"/>
          <w:b/>
          <w:bCs/>
          <w:sz w:val="24"/>
          <w:szCs w:val="24"/>
        </w:rPr>
        <w:t>八、重新招标</w:t>
      </w:r>
      <w:bookmarkEnd w:id="10"/>
    </w:p>
    <w:p>
      <w:pPr>
        <w:spacing w:line="360" w:lineRule="auto"/>
        <w:rPr>
          <w:sz w:val="24"/>
          <w:szCs w:val="24"/>
        </w:rPr>
      </w:pPr>
      <w:r>
        <w:rPr>
          <w:rFonts w:hint="eastAsia"/>
          <w:b/>
          <w:bCs/>
          <w:sz w:val="24"/>
          <w:szCs w:val="24"/>
        </w:rPr>
        <w:t>32.重新招标</w:t>
      </w:r>
    </w:p>
    <w:p>
      <w:pPr>
        <w:spacing w:line="360" w:lineRule="auto"/>
        <w:ind w:firstLine="480" w:firstLineChars="200"/>
        <w:rPr>
          <w:sz w:val="24"/>
          <w:szCs w:val="24"/>
        </w:rPr>
      </w:pPr>
      <w:r>
        <w:rPr>
          <w:rFonts w:hint="eastAsia"/>
          <w:sz w:val="24"/>
          <w:szCs w:val="24"/>
        </w:rPr>
        <w:t>有下列情形之一的，采购人将重新招标：</w:t>
      </w:r>
    </w:p>
    <w:p>
      <w:pPr>
        <w:spacing w:line="360" w:lineRule="auto"/>
        <w:ind w:firstLine="480" w:firstLineChars="200"/>
        <w:rPr>
          <w:sz w:val="24"/>
          <w:szCs w:val="24"/>
        </w:rPr>
      </w:pPr>
      <w:r>
        <w:rPr>
          <w:rFonts w:hint="eastAsia"/>
          <w:sz w:val="24"/>
          <w:szCs w:val="24"/>
        </w:rPr>
        <w:t>（l）投标截止时间止，投标人少于3个的；</w:t>
      </w:r>
    </w:p>
    <w:p>
      <w:pPr>
        <w:spacing w:line="360" w:lineRule="auto"/>
        <w:ind w:firstLine="480" w:firstLineChars="200"/>
        <w:rPr>
          <w:sz w:val="24"/>
          <w:szCs w:val="24"/>
        </w:rPr>
      </w:pPr>
      <w:r>
        <w:rPr>
          <w:rFonts w:hint="eastAsia"/>
          <w:sz w:val="24"/>
          <w:szCs w:val="24"/>
        </w:rPr>
        <w:t>（2）经评标委员会评审后否决所有投标的。</w:t>
      </w:r>
    </w:p>
    <w:p>
      <w:pPr>
        <w:spacing w:line="360" w:lineRule="auto"/>
        <w:ind w:firstLine="482" w:firstLineChars="200"/>
        <w:jc w:val="center"/>
        <w:outlineLvl w:val="1"/>
        <w:rPr>
          <w:sz w:val="24"/>
          <w:szCs w:val="24"/>
        </w:rPr>
      </w:pPr>
      <w:bookmarkStart w:id="11" w:name="_Toc4031"/>
      <w:r>
        <w:rPr>
          <w:rFonts w:hint="eastAsia"/>
          <w:b/>
          <w:bCs/>
          <w:sz w:val="24"/>
          <w:szCs w:val="24"/>
        </w:rPr>
        <w:t>九、纪律和监督</w:t>
      </w:r>
      <w:bookmarkEnd w:id="11"/>
    </w:p>
    <w:p>
      <w:pPr>
        <w:spacing w:line="360" w:lineRule="auto"/>
        <w:rPr>
          <w:sz w:val="24"/>
          <w:szCs w:val="24"/>
        </w:rPr>
      </w:pPr>
      <w:r>
        <w:rPr>
          <w:rFonts w:hint="eastAsia"/>
          <w:b/>
          <w:bCs/>
          <w:sz w:val="24"/>
          <w:szCs w:val="24"/>
        </w:rPr>
        <w:t>33.纪律和监督</w:t>
      </w:r>
    </w:p>
    <w:p>
      <w:pPr>
        <w:spacing w:line="360" w:lineRule="auto"/>
        <w:ind w:firstLine="480" w:firstLineChars="200"/>
        <w:rPr>
          <w:sz w:val="24"/>
          <w:szCs w:val="24"/>
        </w:rPr>
      </w:pPr>
      <w:r>
        <w:rPr>
          <w:rFonts w:hint="eastAsia"/>
          <w:sz w:val="24"/>
          <w:szCs w:val="24"/>
        </w:rPr>
        <w:t>33.1对采购人的纪律要求</w:t>
      </w:r>
    </w:p>
    <w:p>
      <w:pPr>
        <w:spacing w:line="360" w:lineRule="auto"/>
        <w:ind w:firstLine="480" w:firstLineChars="200"/>
        <w:rPr>
          <w:sz w:val="24"/>
          <w:szCs w:val="24"/>
        </w:rPr>
      </w:pPr>
      <w:r>
        <w:rPr>
          <w:rFonts w:hint="eastAsia"/>
          <w:sz w:val="24"/>
          <w:szCs w:val="24"/>
        </w:rPr>
        <w:t>采购人不得泄漏招标投标活动中应当保密的情况和资料，不得与投标人串通损害国家利益、社会公共利益或者他人合法权益。</w:t>
      </w:r>
    </w:p>
    <w:p>
      <w:pPr>
        <w:spacing w:line="360" w:lineRule="auto"/>
        <w:ind w:firstLine="480" w:firstLineChars="200"/>
        <w:rPr>
          <w:sz w:val="24"/>
          <w:szCs w:val="24"/>
        </w:rPr>
      </w:pPr>
      <w:r>
        <w:rPr>
          <w:rFonts w:hint="eastAsia"/>
          <w:sz w:val="24"/>
          <w:szCs w:val="24"/>
        </w:rPr>
        <w:t>33.2对投标人的纪律要求</w:t>
      </w:r>
    </w:p>
    <w:p>
      <w:pPr>
        <w:spacing w:line="360" w:lineRule="auto"/>
        <w:ind w:firstLine="480" w:firstLineChars="200"/>
        <w:rPr>
          <w:sz w:val="24"/>
          <w:szCs w:val="24"/>
        </w:rPr>
      </w:pPr>
      <w:r>
        <w:rPr>
          <w:rFonts w:hint="eastAsia"/>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spacing w:line="360" w:lineRule="auto"/>
        <w:ind w:firstLine="480" w:firstLineChars="200"/>
        <w:rPr>
          <w:sz w:val="24"/>
          <w:szCs w:val="24"/>
        </w:rPr>
      </w:pPr>
      <w:r>
        <w:rPr>
          <w:rFonts w:hint="eastAsia"/>
          <w:sz w:val="24"/>
          <w:szCs w:val="24"/>
        </w:rPr>
        <w:t>33.3对评标委员会成员的纪律要求</w:t>
      </w:r>
    </w:p>
    <w:p>
      <w:pPr>
        <w:spacing w:line="360" w:lineRule="auto"/>
        <w:ind w:firstLine="480" w:firstLineChars="200"/>
        <w:rPr>
          <w:sz w:val="24"/>
          <w:szCs w:val="24"/>
        </w:rPr>
      </w:pPr>
      <w:r>
        <w:rPr>
          <w:rFonts w:hint="eastAsia"/>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480" w:firstLineChars="200"/>
        <w:rPr>
          <w:sz w:val="24"/>
          <w:szCs w:val="24"/>
        </w:rPr>
      </w:pPr>
      <w:r>
        <w:rPr>
          <w:rFonts w:hint="eastAsia"/>
          <w:sz w:val="24"/>
          <w:szCs w:val="24"/>
        </w:rPr>
        <w:t>33.4对与评标活动有关的工作人员的纪律要求</w:t>
      </w:r>
    </w:p>
    <w:p>
      <w:pPr>
        <w:spacing w:line="360" w:lineRule="auto"/>
        <w:ind w:firstLine="480" w:firstLineChars="200"/>
        <w:rPr>
          <w:sz w:val="24"/>
          <w:szCs w:val="24"/>
        </w:rPr>
      </w:pPr>
      <w:r>
        <w:rPr>
          <w:rFonts w:hint="eastAsia"/>
          <w:sz w:val="24"/>
          <w:szCs w:val="24"/>
        </w:rPr>
        <w:t>与评标活动有关的工作人员及采购代理机构相关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0" w:firstLineChars="200"/>
        <w:rPr>
          <w:sz w:val="24"/>
          <w:szCs w:val="24"/>
        </w:rPr>
      </w:pPr>
      <w:r>
        <w:rPr>
          <w:rFonts w:hint="eastAsia"/>
          <w:sz w:val="24"/>
          <w:szCs w:val="24"/>
        </w:rPr>
        <w:t>33.5投诉</w:t>
      </w:r>
    </w:p>
    <w:p>
      <w:pPr>
        <w:spacing w:line="360" w:lineRule="auto"/>
        <w:ind w:firstLine="480" w:firstLineChars="200"/>
        <w:rPr>
          <w:sz w:val="24"/>
          <w:szCs w:val="24"/>
        </w:rPr>
      </w:pPr>
      <w:r>
        <w:rPr>
          <w:rFonts w:hint="eastAsia"/>
          <w:sz w:val="24"/>
          <w:szCs w:val="24"/>
        </w:rPr>
        <w:t>投标人和其他利害关系人认为本次招标活动违反法律、法规和规章规定的，有权向有关行政监督部门投诉。</w:t>
      </w:r>
    </w:p>
    <w:p>
      <w:pPr>
        <w:spacing w:line="360" w:lineRule="auto"/>
        <w:ind w:firstLine="482" w:firstLineChars="200"/>
        <w:jc w:val="center"/>
        <w:outlineLvl w:val="1"/>
        <w:rPr>
          <w:sz w:val="24"/>
          <w:szCs w:val="24"/>
        </w:rPr>
      </w:pPr>
      <w:bookmarkStart w:id="12" w:name="_Toc14707"/>
      <w:r>
        <w:rPr>
          <w:rFonts w:hint="eastAsia"/>
          <w:b/>
          <w:bCs/>
          <w:sz w:val="24"/>
          <w:szCs w:val="24"/>
        </w:rPr>
        <w:t>十、需要补充的其他内容</w:t>
      </w:r>
      <w:bookmarkEnd w:id="12"/>
    </w:p>
    <w:p>
      <w:pPr>
        <w:spacing w:line="360" w:lineRule="auto"/>
        <w:rPr>
          <w:sz w:val="24"/>
          <w:szCs w:val="24"/>
        </w:rPr>
      </w:pPr>
      <w:r>
        <w:rPr>
          <w:rFonts w:hint="eastAsia"/>
          <w:b/>
          <w:bCs/>
          <w:sz w:val="24"/>
          <w:szCs w:val="24"/>
        </w:rPr>
        <w:t>34.需要补充的其他内容</w:t>
      </w:r>
    </w:p>
    <w:p>
      <w:pPr>
        <w:spacing w:line="360" w:lineRule="auto"/>
        <w:ind w:firstLine="480" w:firstLineChars="200"/>
        <w:rPr>
          <w:sz w:val="24"/>
          <w:szCs w:val="24"/>
        </w:rPr>
      </w:pPr>
      <w:r>
        <w:rPr>
          <w:rFonts w:hint="eastAsia"/>
          <w:sz w:val="24"/>
          <w:szCs w:val="24"/>
        </w:rPr>
        <w:t>需要补充的其他内容：见投标人须知前附表。</w:t>
      </w:r>
    </w:p>
    <w:p>
      <w:pPr>
        <w:spacing w:line="360" w:lineRule="auto"/>
        <w:ind w:firstLine="482" w:firstLineChars="200"/>
        <w:jc w:val="center"/>
        <w:outlineLvl w:val="1"/>
        <w:rPr>
          <w:sz w:val="24"/>
          <w:szCs w:val="24"/>
        </w:rPr>
      </w:pPr>
      <w:bookmarkStart w:id="13" w:name="_Toc16748"/>
      <w:r>
        <w:rPr>
          <w:rFonts w:hint="eastAsia"/>
          <w:b/>
          <w:bCs/>
          <w:sz w:val="24"/>
          <w:szCs w:val="24"/>
        </w:rPr>
        <w:t>十一、 电子招标投标</w:t>
      </w:r>
      <w:bookmarkEnd w:id="13"/>
    </w:p>
    <w:p>
      <w:pPr>
        <w:spacing w:line="360" w:lineRule="auto"/>
        <w:ind w:firstLine="480" w:firstLineChars="200"/>
      </w:pPr>
      <w:r>
        <w:rPr>
          <w:rFonts w:hint="eastAsia"/>
          <w:sz w:val="24"/>
          <w:szCs w:val="24"/>
        </w:rPr>
        <w:t>35.采用电子招标投标，对投标文件的编制、递交、开标、评标等的具体要求，见投标人须知前附表</w:t>
      </w:r>
      <w:r>
        <w:rPr>
          <w:rFonts w:hint="eastAsia"/>
        </w:rPr>
        <w:t>。</w:t>
      </w:r>
    </w:p>
    <w:p>
      <w:r>
        <w:br w:type="page"/>
      </w:r>
    </w:p>
    <w:p>
      <w:pPr>
        <w:spacing w:before="25"/>
        <w:ind w:left="652"/>
      </w:pPr>
      <w:r>
        <w:t>附件一：</w:t>
      </w:r>
    </w:p>
    <w:p>
      <w:pPr>
        <w:spacing w:before="214"/>
        <w:ind w:left="465" w:right="465"/>
        <w:jc w:val="center"/>
        <w:rPr>
          <w:b/>
          <w:sz w:val="32"/>
        </w:rPr>
      </w:pPr>
      <w:r>
        <w:rPr>
          <w:b/>
          <w:sz w:val="32"/>
        </w:rPr>
        <w:t>问题澄清通知</w:t>
      </w:r>
    </w:p>
    <w:p>
      <w:pPr>
        <w:pStyle w:val="8"/>
        <w:spacing w:before="3"/>
        <w:rPr>
          <w:b/>
          <w:sz w:val="28"/>
        </w:rPr>
      </w:pPr>
    </w:p>
    <w:p>
      <w:pPr>
        <w:pStyle w:val="8"/>
        <w:spacing w:before="67"/>
        <w:ind w:left="1133"/>
      </w:pPr>
      <w:r>
        <w:t>编号：</w:t>
      </w:r>
    </w:p>
    <w:p>
      <w:pPr>
        <w:pStyle w:val="8"/>
        <w:spacing w:before="67"/>
        <w:ind w:firstLine="960" w:firstLineChars="400"/>
      </w:pPr>
      <w:r>
        <w:rPr>
          <w:rFonts w:hint="eastAsia"/>
          <w:u w:val="single"/>
          <w:lang w:val="en-US"/>
        </w:rPr>
        <w:t xml:space="preserve">                </w:t>
      </w:r>
      <w:r>
        <w:rPr>
          <w:u w:val="single"/>
        </w:rPr>
        <w:t>（投标人名称）</w:t>
      </w:r>
      <w:r>
        <w:rPr>
          <w:rFonts w:hint="eastAsia"/>
          <w:u w:val="single"/>
          <w:lang w:val="en-US"/>
        </w:rPr>
        <w:t xml:space="preserve"> </w:t>
      </w:r>
      <w:r>
        <w:t>:</w:t>
      </w:r>
    </w:p>
    <w:p>
      <w:pPr>
        <w:pStyle w:val="8"/>
        <w:tabs>
          <w:tab w:val="left" w:pos="4253"/>
        </w:tabs>
        <w:spacing w:before="160" w:line="360" w:lineRule="auto"/>
        <w:ind w:firstLine="1200" w:firstLineChars="500"/>
      </w:pPr>
      <w:r>
        <w:rPr>
          <w:rFonts w:hint="eastAsia"/>
          <w:u w:val="single"/>
          <w:lang w:val="en-US"/>
        </w:rPr>
        <w:t xml:space="preserve">         </w:t>
      </w:r>
      <w:r>
        <w:rPr>
          <w:rFonts w:hint="eastAsia"/>
          <w:lang w:val="en-US"/>
        </w:rPr>
        <w:t>（</w:t>
      </w:r>
      <w:r>
        <w:t>项目名称）</w:t>
      </w:r>
      <w:r>
        <w:rPr>
          <w:rFonts w:hint="eastAsia"/>
          <w:u w:val="single"/>
          <w:lang w:val="en-US"/>
        </w:rPr>
        <w:t xml:space="preserve">       </w:t>
      </w:r>
      <w:r>
        <w:t>标段招标的评标委员会</w:t>
      </w:r>
      <w:r>
        <w:rPr>
          <w:spacing w:val="-17"/>
        </w:rPr>
        <w:t xml:space="preserve">， </w:t>
      </w:r>
      <w:r>
        <w:t>对你方的投标文件进行了仔细的审查，现需你方对下列问题以书面形式予以澄清：</w:t>
      </w:r>
    </w:p>
    <w:p>
      <w:pPr>
        <w:pStyle w:val="8"/>
        <w:spacing w:before="1"/>
        <w:ind w:left="1133"/>
      </w:pPr>
      <w:r>
        <w:t>1、</w:t>
      </w:r>
    </w:p>
    <w:p>
      <w:pPr>
        <w:pStyle w:val="8"/>
        <w:spacing w:before="161"/>
        <w:ind w:left="1133"/>
      </w:pPr>
      <w:r>
        <w:t>2、</w:t>
      </w:r>
    </w:p>
    <w:p>
      <w:pPr>
        <w:pStyle w:val="8"/>
        <w:spacing w:before="160"/>
        <w:ind w:left="1133"/>
      </w:pPr>
      <w:r>
        <w:t>……</w:t>
      </w:r>
    </w:p>
    <w:p>
      <w:pPr>
        <w:pStyle w:val="8"/>
        <w:spacing w:before="160" w:line="360" w:lineRule="auto"/>
        <w:ind w:firstLine="480" w:firstLineChars="200"/>
        <w:rPr>
          <w:u w:val="single"/>
          <w:lang w:val="en-US"/>
        </w:rPr>
      </w:pPr>
      <w:r>
        <w:t>请将上述问题的澄清于</w:t>
      </w:r>
      <w:r>
        <w:rPr>
          <w:rFonts w:hint="eastAsia"/>
          <w:u w:val="single"/>
          <w:lang w:val="en-US"/>
        </w:rPr>
        <w:t xml:space="preserve">     </w:t>
      </w:r>
      <w:r>
        <w:t>年</w:t>
      </w:r>
      <w:r>
        <w:rPr>
          <w:rFonts w:hint="eastAsia"/>
          <w:u w:val="single"/>
          <w:lang w:val="en-US"/>
        </w:rPr>
        <w:t xml:space="preserve">     </w:t>
      </w:r>
      <w:r>
        <w:t>月</w:t>
      </w:r>
      <w:r>
        <w:rPr>
          <w:rFonts w:hint="eastAsia"/>
          <w:u w:val="single"/>
          <w:lang w:val="en-US"/>
        </w:rPr>
        <w:t xml:space="preserve">     </w:t>
      </w:r>
      <w:r>
        <w:t>日</w:t>
      </w:r>
      <w:r>
        <w:rPr>
          <w:rFonts w:hint="eastAsia"/>
          <w:u w:val="single"/>
          <w:lang w:val="en-US"/>
        </w:rPr>
        <w:t xml:space="preserve">    </w:t>
      </w:r>
      <w:r>
        <w:rPr>
          <w:rFonts w:hint="eastAsia"/>
          <w:lang w:val="en-US"/>
        </w:rPr>
        <w:t xml:space="preserve"> </w:t>
      </w:r>
      <w:r>
        <w:t>时前递交至</w:t>
      </w:r>
      <w:r>
        <w:rPr>
          <w:rFonts w:hint="eastAsia"/>
          <w:lang w:val="en-US"/>
        </w:rPr>
        <w:t xml:space="preserve"> </w:t>
      </w:r>
      <w:r>
        <w:rPr>
          <w:rFonts w:hint="eastAsia"/>
          <w:u w:val="single"/>
          <w:lang w:val="en-US"/>
        </w:rPr>
        <w:t xml:space="preserve">              </w:t>
      </w:r>
    </w:p>
    <w:p>
      <w:pPr>
        <w:pStyle w:val="8"/>
        <w:spacing w:before="160" w:line="360" w:lineRule="auto"/>
        <w:ind w:left="720" w:hanging="720" w:hangingChars="300"/>
        <w:rPr>
          <w:spacing w:val="16"/>
        </w:rPr>
      </w:pPr>
      <w:r>
        <w:rPr>
          <w:rFonts w:hint="eastAsia"/>
          <w:u w:val="single"/>
          <w:lang w:val="en-US"/>
        </w:rPr>
        <w:t xml:space="preserve">       </w:t>
      </w:r>
      <w:r>
        <w:t>（详细地址）或传真至</w:t>
      </w:r>
      <w:r>
        <w:rPr>
          <w:rFonts w:hint="eastAsia"/>
          <w:u w:val="single"/>
          <w:lang w:val="en-US"/>
        </w:rPr>
        <w:t xml:space="preserve">            </w:t>
      </w:r>
      <w:r>
        <w:rPr>
          <w:spacing w:val="16"/>
        </w:rPr>
        <w:t>（传真号码）。采用传真方式的，应</w:t>
      </w:r>
    </w:p>
    <w:p>
      <w:pPr>
        <w:pStyle w:val="8"/>
        <w:spacing w:before="160" w:line="360" w:lineRule="auto"/>
      </w:pPr>
      <w:r>
        <w:rPr>
          <w:rFonts w:hint="eastAsia"/>
          <w:u w:val="single"/>
          <w:lang w:val="en-US"/>
        </w:rPr>
        <w:t xml:space="preserve">     </w:t>
      </w:r>
      <w:r>
        <w:rPr>
          <w:spacing w:val="16"/>
        </w:rPr>
        <w:t>年</w:t>
      </w:r>
      <w:r>
        <w:rPr>
          <w:rFonts w:hint="eastAsia"/>
          <w:spacing w:val="16"/>
          <w:u w:val="single"/>
          <w:lang w:val="en-US"/>
        </w:rPr>
        <w:t xml:space="preserve">    </w:t>
      </w:r>
      <w:r>
        <w:rPr>
          <w:spacing w:val="16"/>
        </w:rPr>
        <w:t>月</w:t>
      </w:r>
      <w:r>
        <w:rPr>
          <w:rFonts w:hint="eastAsia"/>
          <w:spacing w:val="16"/>
          <w:u w:val="single"/>
          <w:lang w:val="en-US"/>
        </w:rPr>
        <w:t xml:space="preserve">    </w:t>
      </w:r>
      <w:r>
        <w:rPr>
          <w:spacing w:val="16"/>
        </w:rPr>
        <w:t>日</w:t>
      </w:r>
      <w:r>
        <w:rPr>
          <w:rFonts w:hint="eastAsia"/>
          <w:spacing w:val="16"/>
          <w:u w:val="single"/>
          <w:lang w:val="en-US"/>
        </w:rPr>
        <w:t xml:space="preserve">    </w:t>
      </w:r>
      <w:r>
        <w:rPr>
          <w:spacing w:val="16"/>
        </w:rPr>
        <w:t>时前将原件递交至</w:t>
      </w:r>
      <w:r>
        <w:rPr>
          <w:rFonts w:hint="eastAsia"/>
          <w:spacing w:val="16"/>
          <w:u w:val="single"/>
          <w:lang w:val="en-US"/>
        </w:rPr>
        <w:t xml:space="preserve">           </w:t>
      </w:r>
      <w:r>
        <w:t>（详细地址）。</w:t>
      </w:r>
    </w:p>
    <w:p>
      <w:pPr>
        <w:pStyle w:val="8"/>
        <w:spacing w:before="1"/>
        <w:rPr>
          <w:sz w:val="25"/>
        </w:rPr>
      </w:pPr>
    </w:p>
    <w:p>
      <w:pPr>
        <w:pStyle w:val="8"/>
        <w:tabs>
          <w:tab w:val="left" w:pos="9333"/>
        </w:tabs>
      </w:pPr>
    </w:p>
    <w:p>
      <w:pPr>
        <w:pStyle w:val="8"/>
        <w:tabs>
          <w:tab w:val="left" w:pos="9333"/>
        </w:tabs>
        <w:jc w:val="right"/>
      </w:pPr>
    </w:p>
    <w:p>
      <w:pPr>
        <w:pStyle w:val="8"/>
        <w:tabs>
          <w:tab w:val="left" w:pos="9333"/>
        </w:tabs>
        <w:jc w:val="right"/>
      </w:pPr>
      <w:r>
        <w:t>评标工作组负责人：（签字）</w:t>
      </w:r>
    </w:p>
    <w:p>
      <w:pPr>
        <w:pStyle w:val="8"/>
        <w:tabs>
          <w:tab w:val="left" w:pos="9333"/>
        </w:tabs>
        <w:jc w:val="right"/>
      </w:pPr>
    </w:p>
    <w:p>
      <w:pPr>
        <w:pStyle w:val="8"/>
        <w:tabs>
          <w:tab w:val="left" w:pos="9333"/>
        </w:tabs>
        <w:jc w:val="right"/>
      </w:pPr>
      <w:r>
        <w:rPr>
          <w:rFonts w:hint="eastAsia"/>
          <w:u w:val="single"/>
          <w:lang w:val="en-US"/>
        </w:rPr>
        <w:t xml:space="preserve">     </w:t>
      </w:r>
      <w:r>
        <w:rPr>
          <w:spacing w:val="16"/>
        </w:rPr>
        <w:t>年</w:t>
      </w:r>
      <w:r>
        <w:rPr>
          <w:rFonts w:hint="eastAsia"/>
          <w:spacing w:val="16"/>
          <w:u w:val="single"/>
          <w:lang w:val="en-US"/>
        </w:rPr>
        <w:t xml:space="preserve">    </w:t>
      </w:r>
      <w:r>
        <w:rPr>
          <w:spacing w:val="16"/>
        </w:rPr>
        <w:t>月</w:t>
      </w:r>
      <w:r>
        <w:rPr>
          <w:rFonts w:hint="eastAsia"/>
          <w:spacing w:val="16"/>
          <w:u w:val="single"/>
          <w:lang w:val="en-US"/>
        </w:rPr>
        <w:t xml:space="preserve">    </w:t>
      </w:r>
      <w:r>
        <w:rPr>
          <w:spacing w:val="16"/>
        </w:rPr>
        <w:t>日</w:t>
      </w:r>
    </w:p>
    <w:p>
      <w:pPr>
        <w:sectPr>
          <w:pgSz w:w="11910" w:h="16840"/>
          <w:pgMar w:top="1361" w:right="1417" w:bottom="1361" w:left="1417" w:header="0" w:footer="913" w:gutter="0"/>
          <w:cols w:space="425" w:num="1"/>
        </w:sectPr>
      </w:pPr>
    </w:p>
    <w:p>
      <w:pPr>
        <w:ind w:left="652"/>
      </w:pPr>
      <w:r>
        <w:t>附件二：</w:t>
      </w:r>
    </w:p>
    <w:p>
      <w:pPr>
        <w:spacing w:before="214"/>
        <w:ind w:left="465" w:right="465"/>
        <w:jc w:val="center"/>
        <w:rPr>
          <w:b/>
          <w:sz w:val="32"/>
        </w:rPr>
      </w:pPr>
      <w:r>
        <w:rPr>
          <w:b/>
          <w:sz w:val="32"/>
        </w:rPr>
        <w:t>问题的澄清</w:t>
      </w:r>
    </w:p>
    <w:p>
      <w:pPr>
        <w:pStyle w:val="8"/>
        <w:spacing w:before="67"/>
        <w:ind w:left="1133"/>
      </w:pPr>
    </w:p>
    <w:p>
      <w:pPr>
        <w:pStyle w:val="8"/>
        <w:spacing w:before="67" w:line="360" w:lineRule="auto"/>
        <w:ind w:firstLine="480" w:firstLineChars="200"/>
      </w:pPr>
      <w:r>
        <w:t>编号：</w:t>
      </w:r>
    </w:p>
    <w:p>
      <w:pPr>
        <w:pStyle w:val="8"/>
        <w:spacing w:before="67" w:line="360" w:lineRule="auto"/>
        <w:ind w:firstLine="720" w:firstLineChars="300"/>
      </w:pPr>
      <w:r>
        <w:rPr>
          <w:rFonts w:hint="eastAsia"/>
          <w:u w:val="single"/>
          <w:lang w:val="en-US"/>
        </w:rPr>
        <w:t xml:space="preserve">         </w:t>
      </w:r>
      <w:r>
        <w:rPr>
          <w:rFonts w:hint="eastAsia"/>
          <w:lang w:val="en-US"/>
        </w:rPr>
        <w:t>（</w:t>
      </w:r>
      <w:r>
        <w:t>项目名称）</w:t>
      </w:r>
      <w:r>
        <w:rPr>
          <w:rFonts w:hint="eastAsia"/>
          <w:u w:val="single"/>
          <w:lang w:val="en-US"/>
        </w:rPr>
        <w:t xml:space="preserve">       </w:t>
      </w:r>
      <w:r>
        <w:t>标段招标的评标委员会</w:t>
      </w:r>
      <w:r>
        <w:rPr>
          <w:rFonts w:hint="eastAsia"/>
        </w:rPr>
        <w:t>：</w:t>
      </w:r>
    </w:p>
    <w:p>
      <w:pPr>
        <w:pStyle w:val="8"/>
        <w:spacing w:before="67" w:line="360" w:lineRule="auto"/>
        <w:ind w:firstLine="1200" w:firstLineChars="500"/>
      </w:pPr>
    </w:p>
    <w:p>
      <w:pPr>
        <w:pStyle w:val="8"/>
        <w:spacing w:before="67" w:line="360" w:lineRule="auto"/>
        <w:ind w:firstLine="1200" w:firstLineChars="500"/>
      </w:pPr>
      <w:r>
        <w:t>问题澄清通知（编号：</w:t>
      </w:r>
      <w:r>
        <w:rPr>
          <w:rFonts w:hint="eastAsia"/>
          <w:u w:val="single"/>
          <w:lang w:val="en-US"/>
        </w:rPr>
        <w:t xml:space="preserve">         </w:t>
      </w:r>
      <w:r>
        <w:t>）已收悉，现澄清如下：</w:t>
      </w:r>
    </w:p>
    <w:p>
      <w:pPr>
        <w:pStyle w:val="8"/>
        <w:spacing w:before="67" w:line="360" w:lineRule="auto"/>
        <w:ind w:left="1133"/>
      </w:pPr>
    </w:p>
    <w:p>
      <w:pPr>
        <w:pStyle w:val="8"/>
        <w:spacing w:before="67" w:line="360" w:lineRule="auto"/>
        <w:ind w:left="1133"/>
      </w:pPr>
      <w:r>
        <w:t>1.</w:t>
      </w:r>
    </w:p>
    <w:p>
      <w:pPr>
        <w:pStyle w:val="8"/>
        <w:spacing w:before="67" w:line="360" w:lineRule="auto"/>
        <w:ind w:left="1133"/>
      </w:pPr>
    </w:p>
    <w:p>
      <w:pPr>
        <w:pStyle w:val="8"/>
        <w:spacing w:before="67" w:line="360" w:lineRule="auto"/>
        <w:ind w:left="1133"/>
      </w:pPr>
      <w:r>
        <w:t>2.</w:t>
      </w:r>
    </w:p>
    <w:p>
      <w:pPr>
        <w:pStyle w:val="8"/>
        <w:spacing w:before="67" w:line="360" w:lineRule="auto"/>
        <w:ind w:left="1133"/>
      </w:pPr>
      <w:r>
        <w:t>……</w:t>
      </w:r>
    </w:p>
    <w:p>
      <w:pPr>
        <w:pStyle w:val="8"/>
        <w:spacing w:before="67" w:line="360" w:lineRule="auto"/>
        <w:ind w:left="1133"/>
      </w:pPr>
    </w:p>
    <w:p>
      <w:pPr>
        <w:pStyle w:val="8"/>
        <w:spacing w:before="67" w:line="360" w:lineRule="auto"/>
        <w:ind w:left="1133"/>
        <w:jc w:val="right"/>
      </w:pPr>
      <w:r>
        <w:t>投 标 人：</w:t>
      </w:r>
      <w:r>
        <w:rPr>
          <w:u w:val="single"/>
        </w:rPr>
        <w:t xml:space="preserve"> </w:t>
      </w:r>
      <w:r>
        <w:rPr>
          <w:rFonts w:hint="eastAsia"/>
          <w:u w:val="single"/>
          <w:lang w:val="en-US"/>
        </w:rPr>
        <w:t xml:space="preserve">     </w:t>
      </w:r>
      <w:r>
        <w:rPr>
          <w:u w:val="single"/>
        </w:rPr>
        <w:tab/>
      </w:r>
      <w:r>
        <w:t xml:space="preserve">（盖单位章） </w:t>
      </w:r>
    </w:p>
    <w:p>
      <w:pPr>
        <w:pStyle w:val="8"/>
        <w:spacing w:before="67" w:line="360" w:lineRule="auto"/>
        <w:ind w:left="1133"/>
        <w:jc w:val="right"/>
      </w:pPr>
      <w:r>
        <w:t xml:space="preserve">法定代表人或其委托代理人： </w:t>
      </w:r>
      <w:r>
        <w:rPr>
          <w:u w:val="single"/>
        </w:rPr>
        <w:tab/>
      </w:r>
      <w:r>
        <w:rPr>
          <w:u w:val="single"/>
        </w:rPr>
        <w:tab/>
      </w:r>
      <w:r>
        <w:t>（签字）</w:t>
      </w:r>
    </w:p>
    <w:p>
      <w:pPr>
        <w:pStyle w:val="8"/>
        <w:spacing w:before="67" w:line="360" w:lineRule="auto"/>
        <w:ind w:left="1133"/>
        <w:jc w:val="right"/>
      </w:pPr>
      <w:r>
        <w:t xml:space="preserve"> </w:t>
      </w:r>
      <w:r>
        <w:tab/>
      </w:r>
      <w:r>
        <w:rPr>
          <w:rFonts w:hint="eastAsia"/>
          <w:u w:val="single"/>
          <w:lang w:val="en-US"/>
        </w:rPr>
        <w:t xml:space="preserve">     </w:t>
      </w:r>
      <w:r>
        <w:rPr>
          <w:spacing w:val="16"/>
        </w:rPr>
        <w:t>年</w:t>
      </w:r>
      <w:r>
        <w:rPr>
          <w:rFonts w:hint="eastAsia"/>
          <w:spacing w:val="16"/>
          <w:u w:val="single"/>
          <w:lang w:val="en-US"/>
        </w:rPr>
        <w:t xml:space="preserve">    </w:t>
      </w:r>
      <w:r>
        <w:rPr>
          <w:spacing w:val="16"/>
        </w:rPr>
        <w:t>月</w:t>
      </w:r>
      <w:r>
        <w:rPr>
          <w:rFonts w:hint="eastAsia"/>
          <w:spacing w:val="16"/>
          <w:u w:val="single"/>
          <w:lang w:val="en-US"/>
        </w:rPr>
        <w:t xml:space="preserve">    </w:t>
      </w:r>
      <w:r>
        <w:rPr>
          <w:spacing w:val="16"/>
        </w:rPr>
        <w:t>日</w:t>
      </w:r>
    </w:p>
    <w:p>
      <w:pPr>
        <w:sectPr>
          <w:pgSz w:w="11910" w:h="16840"/>
          <w:pgMar w:top="1361" w:right="1417" w:bottom="1361" w:left="1417" w:header="0" w:footer="913" w:gutter="0"/>
          <w:cols w:space="425" w:num="1"/>
        </w:sectPr>
      </w:pPr>
    </w:p>
    <w:p>
      <w:pPr>
        <w:pStyle w:val="3"/>
        <w:numPr>
          <w:ilvl w:val="0"/>
          <w:numId w:val="2"/>
        </w:numPr>
        <w:jc w:val="center"/>
      </w:pPr>
      <w:bookmarkStart w:id="14" w:name="_Toc8498"/>
      <w:r>
        <w:t>评标办法</w:t>
      </w:r>
      <w:bookmarkEnd w:id="14"/>
    </w:p>
    <w:p/>
    <w:p>
      <w:pPr>
        <w:pStyle w:val="24"/>
        <w:spacing w:line="360" w:lineRule="auto"/>
        <w:ind w:firstLine="480" w:firstLineChars="200"/>
        <w:rPr>
          <w:color w:val="auto"/>
        </w:rPr>
      </w:pPr>
      <w:r>
        <w:rPr>
          <w:rFonts w:hint="eastAsia"/>
          <w:color w:val="auto"/>
        </w:rPr>
        <w:t>为公正、公平、科学地选择中标供应商，根据《中华人民共和国政府采购法》《中华人民共和国政府采购法实施条例》《政府采购货物和服务类招投标管理办法》等有关法律法规的规定，并结合本项目的实际，制定本办法。</w:t>
      </w:r>
    </w:p>
    <w:p>
      <w:pPr>
        <w:spacing w:before="11"/>
        <w:jc w:val="center"/>
        <w:outlineLvl w:val="1"/>
        <w:rPr>
          <w:b/>
          <w:sz w:val="24"/>
          <w:szCs w:val="21"/>
        </w:rPr>
      </w:pPr>
      <w:bookmarkStart w:id="15" w:name="_Toc17919"/>
      <w:r>
        <w:rPr>
          <w:b/>
          <w:sz w:val="24"/>
          <w:szCs w:val="21"/>
        </w:rPr>
        <w:t>一、初步评审表</w:t>
      </w:r>
      <w:bookmarkEnd w:id="15"/>
    </w:p>
    <w:p>
      <w:pPr>
        <w:pStyle w:val="8"/>
        <w:spacing w:before="4"/>
        <w:rPr>
          <w:b/>
          <w:sz w:val="10"/>
        </w:rPr>
      </w:pPr>
    </w:p>
    <w:tbl>
      <w:tblPr>
        <w:tblStyle w:val="21"/>
        <w:tblW w:w="90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047"/>
        <w:gridCol w:w="2289"/>
        <w:gridCol w:w="4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85" w:type="dxa"/>
            <w:gridSpan w:val="2"/>
            <w:vAlign w:val="center"/>
          </w:tcPr>
          <w:p>
            <w:pPr>
              <w:pStyle w:val="27"/>
              <w:jc w:val="center"/>
              <w:rPr>
                <w:b/>
                <w:sz w:val="24"/>
              </w:rPr>
            </w:pPr>
            <w:r>
              <w:rPr>
                <w:b/>
                <w:sz w:val="24"/>
              </w:rPr>
              <w:t>条款号</w:t>
            </w:r>
          </w:p>
        </w:tc>
        <w:tc>
          <w:tcPr>
            <w:tcW w:w="2289" w:type="dxa"/>
            <w:vAlign w:val="center"/>
          </w:tcPr>
          <w:p>
            <w:pPr>
              <w:pStyle w:val="27"/>
              <w:jc w:val="center"/>
              <w:rPr>
                <w:b/>
                <w:sz w:val="24"/>
              </w:rPr>
            </w:pPr>
            <w:r>
              <w:rPr>
                <w:b/>
                <w:sz w:val="24"/>
              </w:rPr>
              <w:t>评审因素</w:t>
            </w:r>
          </w:p>
        </w:tc>
        <w:tc>
          <w:tcPr>
            <w:tcW w:w="4912" w:type="dxa"/>
            <w:vAlign w:val="center"/>
          </w:tcPr>
          <w:p>
            <w:pPr>
              <w:pStyle w:val="27"/>
              <w:jc w:val="center"/>
              <w:rPr>
                <w:b/>
                <w:sz w:val="24"/>
              </w:rPr>
            </w:pPr>
            <w:r>
              <w:rPr>
                <w:b/>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838" w:type="dxa"/>
            <w:vMerge w:val="restart"/>
            <w:vAlign w:val="center"/>
          </w:tcPr>
          <w:p>
            <w:pPr>
              <w:pStyle w:val="27"/>
              <w:jc w:val="center"/>
              <w:rPr>
                <w:b/>
                <w:sz w:val="24"/>
              </w:rPr>
            </w:pPr>
          </w:p>
          <w:p>
            <w:pPr>
              <w:pStyle w:val="27"/>
              <w:jc w:val="center"/>
              <w:rPr>
                <w:b/>
                <w:sz w:val="24"/>
              </w:rPr>
            </w:pPr>
          </w:p>
          <w:p>
            <w:pPr>
              <w:pStyle w:val="27"/>
              <w:jc w:val="center"/>
              <w:rPr>
                <w:b/>
                <w:sz w:val="24"/>
              </w:rPr>
            </w:pPr>
          </w:p>
          <w:p>
            <w:pPr>
              <w:pStyle w:val="27"/>
              <w:jc w:val="center"/>
              <w:rPr>
                <w:b/>
                <w:sz w:val="20"/>
              </w:rPr>
            </w:pPr>
          </w:p>
          <w:p>
            <w:pPr>
              <w:pStyle w:val="27"/>
              <w:jc w:val="center"/>
              <w:rPr>
                <w:sz w:val="24"/>
              </w:rPr>
            </w:pPr>
            <w:r>
              <w:rPr>
                <w:sz w:val="24"/>
              </w:rPr>
              <w:t>3.1.1</w:t>
            </w:r>
          </w:p>
        </w:tc>
        <w:tc>
          <w:tcPr>
            <w:tcW w:w="1047" w:type="dxa"/>
            <w:vMerge w:val="restart"/>
            <w:vAlign w:val="center"/>
          </w:tcPr>
          <w:p>
            <w:pPr>
              <w:pStyle w:val="27"/>
              <w:jc w:val="center"/>
              <w:rPr>
                <w:b/>
                <w:sz w:val="24"/>
              </w:rPr>
            </w:pPr>
          </w:p>
          <w:p>
            <w:pPr>
              <w:pStyle w:val="27"/>
              <w:jc w:val="center"/>
              <w:rPr>
                <w:b/>
                <w:sz w:val="24"/>
              </w:rPr>
            </w:pPr>
          </w:p>
          <w:p>
            <w:pPr>
              <w:pStyle w:val="27"/>
              <w:jc w:val="center"/>
              <w:rPr>
                <w:b/>
                <w:sz w:val="28"/>
              </w:rPr>
            </w:pPr>
          </w:p>
          <w:p>
            <w:pPr>
              <w:pStyle w:val="27"/>
              <w:jc w:val="center"/>
              <w:rPr>
                <w:sz w:val="24"/>
              </w:rPr>
            </w:pPr>
            <w:r>
              <w:rPr>
                <w:sz w:val="24"/>
              </w:rPr>
              <w:t>形式评审标准</w:t>
            </w:r>
          </w:p>
        </w:tc>
        <w:tc>
          <w:tcPr>
            <w:tcW w:w="2289" w:type="dxa"/>
            <w:vAlign w:val="center"/>
          </w:tcPr>
          <w:p>
            <w:pPr>
              <w:pStyle w:val="27"/>
              <w:jc w:val="center"/>
              <w:rPr>
                <w:sz w:val="24"/>
              </w:rPr>
            </w:pPr>
            <w:r>
              <w:rPr>
                <w:sz w:val="24"/>
              </w:rPr>
              <w:t>投标人名称</w:t>
            </w:r>
          </w:p>
        </w:tc>
        <w:tc>
          <w:tcPr>
            <w:tcW w:w="4912" w:type="dxa"/>
            <w:vAlign w:val="center"/>
          </w:tcPr>
          <w:p>
            <w:pPr>
              <w:pStyle w:val="27"/>
              <w:jc w:val="center"/>
              <w:rPr>
                <w:sz w:val="24"/>
                <w:lang w:val="en-US"/>
              </w:rPr>
            </w:pPr>
            <w:r>
              <w:rPr>
                <w:sz w:val="24"/>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rPr>
            </w:pPr>
            <w:r>
              <w:rPr>
                <w:sz w:val="24"/>
              </w:rPr>
              <w:t>投标函签字盖章</w:t>
            </w:r>
          </w:p>
        </w:tc>
        <w:tc>
          <w:tcPr>
            <w:tcW w:w="4912" w:type="dxa"/>
            <w:vAlign w:val="center"/>
          </w:tcPr>
          <w:p>
            <w:pPr>
              <w:pStyle w:val="27"/>
              <w:jc w:val="center"/>
              <w:rPr>
                <w:sz w:val="24"/>
              </w:rPr>
            </w:pPr>
            <w:r>
              <w:rPr>
                <w:sz w:val="24"/>
              </w:rPr>
              <w:t>有法定代表人或其委托代理人签字或加盖单位章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rPr>
            </w:pPr>
            <w:r>
              <w:rPr>
                <w:sz w:val="24"/>
              </w:rPr>
              <w:t>投标文件格式</w:t>
            </w:r>
          </w:p>
        </w:tc>
        <w:tc>
          <w:tcPr>
            <w:tcW w:w="4912" w:type="dxa"/>
            <w:vAlign w:val="center"/>
          </w:tcPr>
          <w:p>
            <w:pPr>
              <w:pStyle w:val="27"/>
              <w:jc w:val="center"/>
              <w:rPr>
                <w:sz w:val="24"/>
              </w:rPr>
            </w:pPr>
            <w:r>
              <w:rPr>
                <w:sz w:val="24"/>
              </w:rPr>
              <w:t>符合“投标人须知前附表”的要求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rPr>
            </w:pPr>
            <w:r>
              <w:rPr>
                <w:sz w:val="24"/>
              </w:rPr>
              <w:t>报价唯一</w:t>
            </w:r>
          </w:p>
        </w:tc>
        <w:tc>
          <w:tcPr>
            <w:tcW w:w="4912" w:type="dxa"/>
            <w:vAlign w:val="center"/>
          </w:tcPr>
          <w:p>
            <w:pPr>
              <w:pStyle w:val="27"/>
              <w:jc w:val="center"/>
              <w:rPr>
                <w:sz w:val="24"/>
              </w:rPr>
            </w:pPr>
            <w:r>
              <w:rPr>
                <w:sz w:val="24"/>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38" w:type="dxa"/>
            <w:vMerge w:val="restart"/>
            <w:vAlign w:val="center"/>
          </w:tcPr>
          <w:p>
            <w:pPr>
              <w:pStyle w:val="27"/>
              <w:jc w:val="center"/>
              <w:rPr>
                <w:b/>
                <w:sz w:val="24"/>
              </w:rPr>
            </w:pPr>
          </w:p>
          <w:p>
            <w:pPr>
              <w:pStyle w:val="27"/>
              <w:jc w:val="center"/>
              <w:rPr>
                <w:b/>
                <w:sz w:val="24"/>
              </w:rPr>
            </w:pPr>
          </w:p>
          <w:p>
            <w:pPr>
              <w:pStyle w:val="27"/>
              <w:jc w:val="center"/>
              <w:rPr>
                <w:b/>
                <w:sz w:val="24"/>
              </w:rPr>
            </w:pPr>
          </w:p>
          <w:p>
            <w:pPr>
              <w:pStyle w:val="27"/>
              <w:jc w:val="center"/>
              <w:rPr>
                <w:b/>
                <w:sz w:val="24"/>
              </w:rPr>
            </w:pPr>
          </w:p>
          <w:p>
            <w:pPr>
              <w:pStyle w:val="27"/>
              <w:jc w:val="center"/>
              <w:rPr>
                <w:b/>
                <w:sz w:val="24"/>
              </w:rPr>
            </w:pPr>
          </w:p>
          <w:p>
            <w:pPr>
              <w:pStyle w:val="27"/>
              <w:jc w:val="center"/>
              <w:rPr>
                <w:sz w:val="24"/>
              </w:rPr>
            </w:pPr>
            <w:r>
              <w:rPr>
                <w:sz w:val="24"/>
              </w:rPr>
              <w:t>3.1.2</w:t>
            </w:r>
          </w:p>
        </w:tc>
        <w:tc>
          <w:tcPr>
            <w:tcW w:w="1047" w:type="dxa"/>
            <w:vMerge w:val="restart"/>
            <w:vAlign w:val="center"/>
          </w:tcPr>
          <w:p>
            <w:pPr>
              <w:pStyle w:val="27"/>
              <w:jc w:val="center"/>
              <w:rPr>
                <w:b/>
                <w:sz w:val="24"/>
              </w:rPr>
            </w:pPr>
          </w:p>
          <w:p>
            <w:pPr>
              <w:pStyle w:val="27"/>
              <w:jc w:val="center"/>
              <w:rPr>
                <w:sz w:val="24"/>
              </w:rPr>
            </w:pPr>
            <w:r>
              <w:rPr>
                <w:sz w:val="24"/>
              </w:rPr>
              <w:t>资格评审标准</w:t>
            </w:r>
          </w:p>
        </w:tc>
        <w:tc>
          <w:tcPr>
            <w:tcW w:w="2289" w:type="dxa"/>
            <w:vAlign w:val="center"/>
          </w:tcPr>
          <w:p>
            <w:pPr>
              <w:pStyle w:val="27"/>
              <w:jc w:val="center"/>
              <w:rPr>
                <w:sz w:val="24"/>
              </w:rPr>
            </w:pPr>
            <w:r>
              <w:rPr>
                <w:sz w:val="24"/>
              </w:rPr>
              <w:t>营业执照</w:t>
            </w:r>
          </w:p>
        </w:tc>
        <w:tc>
          <w:tcPr>
            <w:tcW w:w="4912" w:type="dxa"/>
            <w:vAlign w:val="center"/>
          </w:tcPr>
          <w:p>
            <w:pPr>
              <w:pStyle w:val="27"/>
              <w:jc w:val="center"/>
              <w:rPr>
                <w:sz w:val="24"/>
              </w:rPr>
            </w:pPr>
            <w:r>
              <w:rPr>
                <w:rFonts w:hint="eastAsia"/>
                <w:sz w:val="24"/>
                <w:szCs w:val="24"/>
              </w:rPr>
              <w:t>投标人须具有独立法人资格，具有有效的营业执照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lang w:val="en-US"/>
              </w:rPr>
            </w:pPr>
            <w:r>
              <w:rPr>
                <w:rFonts w:hint="eastAsia"/>
                <w:sz w:val="24"/>
                <w:szCs w:val="24"/>
                <w:lang w:val="en-US"/>
              </w:rPr>
              <w:t>人员要求</w:t>
            </w:r>
          </w:p>
        </w:tc>
        <w:tc>
          <w:tcPr>
            <w:tcW w:w="4912" w:type="dxa"/>
            <w:vAlign w:val="center"/>
          </w:tcPr>
          <w:p>
            <w:pPr>
              <w:pStyle w:val="27"/>
              <w:jc w:val="center"/>
              <w:rPr>
                <w:sz w:val="24"/>
              </w:rPr>
            </w:pPr>
            <w:r>
              <w:rPr>
                <w:rFonts w:hint="eastAsia"/>
                <w:sz w:val="24"/>
                <w:szCs w:val="24"/>
                <w:lang w:val="en-US"/>
              </w:rPr>
              <w:t>拟派项目负责人、委托代理为本单位正式员工，须提供公告发布之日前近连续3个月在本单位社保缴纳证明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lang w:val="en-US"/>
              </w:rPr>
            </w:pPr>
            <w:r>
              <w:rPr>
                <w:rFonts w:hint="eastAsia"/>
                <w:sz w:val="24"/>
                <w:szCs w:val="24"/>
                <w:lang w:val="en-US"/>
              </w:rPr>
              <w:t>良好的商业信誉和健全的财务会计制度</w:t>
            </w:r>
          </w:p>
        </w:tc>
        <w:tc>
          <w:tcPr>
            <w:tcW w:w="4912" w:type="dxa"/>
            <w:vAlign w:val="center"/>
          </w:tcPr>
          <w:p>
            <w:pPr>
              <w:pStyle w:val="27"/>
              <w:jc w:val="center"/>
              <w:rPr>
                <w:sz w:val="24"/>
              </w:rPr>
            </w:pPr>
            <w:r>
              <w:rPr>
                <w:rFonts w:hint="eastAsia"/>
                <w:sz w:val="24"/>
                <w:szCs w:val="24"/>
                <w:lang w:val="en-US"/>
              </w:rPr>
              <w:t>投标人具有良好的商业信誉和健全的财务会计制度（须提供2020年度财务审计报告，公司成立时间不足一年的自成立年份开始提供）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lang w:val="en-US"/>
              </w:rPr>
            </w:pPr>
            <w:r>
              <w:rPr>
                <w:sz w:val="24"/>
                <w:szCs w:val="24"/>
                <w:lang w:val="en-US"/>
              </w:rPr>
              <w:t>依法缴纳税收和社会保障资金的良好记录</w:t>
            </w:r>
          </w:p>
        </w:tc>
        <w:tc>
          <w:tcPr>
            <w:tcW w:w="4912" w:type="dxa"/>
            <w:vAlign w:val="center"/>
          </w:tcPr>
          <w:p>
            <w:pPr>
              <w:pStyle w:val="27"/>
              <w:jc w:val="center"/>
              <w:rPr>
                <w:sz w:val="24"/>
              </w:rPr>
            </w:pPr>
            <w:r>
              <w:rPr>
                <w:rFonts w:hint="eastAsia"/>
                <w:sz w:val="24"/>
                <w:szCs w:val="24"/>
                <w:lang w:val="en-US"/>
              </w:rPr>
              <w:t>投标人具</w:t>
            </w:r>
            <w:r>
              <w:rPr>
                <w:sz w:val="24"/>
                <w:szCs w:val="24"/>
                <w:lang w:val="en-US"/>
              </w:rPr>
              <w:t>有依法缴纳税收和社会保障资金的良好记录（提供</w:t>
            </w:r>
            <w:r>
              <w:rPr>
                <w:rFonts w:hint="eastAsia"/>
                <w:sz w:val="24"/>
                <w:szCs w:val="24"/>
                <w:lang w:val="en-US"/>
              </w:rPr>
              <w:t>公告发布之日前近连续3个月</w:t>
            </w:r>
            <w:r>
              <w:rPr>
                <w:sz w:val="24"/>
                <w:szCs w:val="24"/>
                <w:lang w:val="en-US"/>
              </w:rPr>
              <w:t>依法缴纳税收和社会保障资金的证明复印件或扫描件（依法免税或不需要缴纳社会保障资金的单位，应提供相应文件证明其依法免税或不需要缴纳社会保障金，新成立企业从成立之日起计算））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lang w:val="en-US"/>
              </w:rPr>
            </w:pPr>
            <w:r>
              <w:rPr>
                <w:sz w:val="24"/>
                <w:szCs w:val="24"/>
                <w:lang w:val="en-US"/>
              </w:rPr>
              <w:t>履行合同所必需的设备和专业技术能力</w:t>
            </w:r>
          </w:p>
        </w:tc>
        <w:tc>
          <w:tcPr>
            <w:tcW w:w="4912" w:type="dxa"/>
            <w:vAlign w:val="center"/>
          </w:tcPr>
          <w:p>
            <w:pPr>
              <w:pStyle w:val="27"/>
              <w:jc w:val="center"/>
              <w:rPr>
                <w:sz w:val="24"/>
              </w:rPr>
            </w:pPr>
            <w:r>
              <w:rPr>
                <w:sz w:val="24"/>
                <w:szCs w:val="24"/>
                <w:lang w:val="en-US"/>
              </w:rPr>
              <w:t>投标人具有履行合同所必需的设备和专业技术能力（须提供承诺书）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szCs w:val="24"/>
                <w:lang w:val="en-US"/>
              </w:rPr>
            </w:pPr>
            <w:r>
              <w:rPr>
                <w:rFonts w:hint="eastAsia"/>
                <w:sz w:val="24"/>
                <w:szCs w:val="24"/>
                <w:lang w:val="en-US"/>
              </w:rPr>
              <w:t>无重大违法</w:t>
            </w:r>
            <w:r>
              <w:rPr>
                <w:sz w:val="24"/>
                <w:szCs w:val="24"/>
                <w:lang w:val="en-US"/>
              </w:rPr>
              <w:t>记录书面声明</w:t>
            </w:r>
          </w:p>
        </w:tc>
        <w:tc>
          <w:tcPr>
            <w:tcW w:w="4912" w:type="dxa"/>
            <w:vAlign w:val="center"/>
          </w:tcPr>
          <w:p>
            <w:pPr>
              <w:pStyle w:val="27"/>
              <w:jc w:val="center"/>
              <w:rPr>
                <w:sz w:val="24"/>
                <w:szCs w:val="24"/>
                <w:lang w:val="en-US"/>
              </w:rPr>
            </w:pPr>
            <w:r>
              <w:rPr>
                <w:sz w:val="24"/>
                <w:szCs w:val="24"/>
                <w:lang w:val="en-US"/>
              </w:rPr>
              <w:t>投标人参加政府采购活动前三年内，在经营活动中没有重大违法记录（须提供参加政府采购活动前三年内，在经营活动中没有重大违法记录的书面声明）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rPr>
            </w:pPr>
            <w:r>
              <w:rPr>
                <w:rFonts w:hint="eastAsia"/>
                <w:sz w:val="24"/>
              </w:rPr>
              <w:t>无行贿犯罪记录承诺函</w:t>
            </w:r>
          </w:p>
        </w:tc>
        <w:tc>
          <w:tcPr>
            <w:tcW w:w="4912" w:type="dxa"/>
            <w:vAlign w:val="center"/>
          </w:tcPr>
          <w:p>
            <w:pPr>
              <w:pStyle w:val="27"/>
              <w:jc w:val="center"/>
              <w:rPr>
                <w:sz w:val="24"/>
              </w:rPr>
            </w:pPr>
            <w:r>
              <w:rPr>
                <w:rFonts w:hint="eastAsia"/>
                <w:sz w:val="24"/>
                <w:szCs w:val="24"/>
              </w:rPr>
              <w:t>投标人需提供无行贿犯罪记录承诺函（承诺对象包括：投标企业、法定代表人），并对其真实性负责，若承诺不实，造成的后果由投标人自行负责（格式自拟）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rPr>
            </w:pPr>
            <w:r>
              <w:rPr>
                <w:sz w:val="24"/>
              </w:rPr>
              <w:t>信用记录查询</w:t>
            </w:r>
          </w:p>
        </w:tc>
        <w:tc>
          <w:tcPr>
            <w:tcW w:w="4912" w:type="dxa"/>
            <w:vAlign w:val="center"/>
          </w:tcPr>
          <w:p>
            <w:pPr>
              <w:pStyle w:val="27"/>
              <w:jc w:val="center"/>
              <w:rPr>
                <w:sz w:val="24"/>
              </w:rPr>
            </w:pPr>
            <w:r>
              <w:rPr>
                <w:rFonts w:hint="eastAsia"/>
                <w:sz w:val="24"/>
                <w:szCs w:val="24"/>
                <w:lang w:val="en-US"/>
              </w:rPr>
              <w:t>按照《财政部关于在政府采购活动中查询及使用信用记录有关问题的通知》（财库〔2016〕125 号）的要求，对列入失信被执行人、重大税收违法案件当事人名单、政府采购严重违法失信行为记录名单的供应商，拒绝参与本项目招标。依据《关于在公共资源交易活动中实施信用监管的通知》（宛公管办[2020]22号）文，供应商需提供规范的信用报告，信用报告应通过“信用中国”网站（www.creditchina.gov.cn）下载，信用报告的生成日期为本项目递交投标文件截止时间前10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rPr>
            </w:pPr>
            <w:r>
              <w:rPr>
                <w:sz w:val="24"/>
              </w:rPr>
              <w:t>其他要求</w:t>
            </w:r>
          </w:p>
        </w:tc>
        <w:tc>
          <w:tcPr>
            <w:tcW w:w="4912" w:type="dxa"/>
            <w:vAlign w:val="center"/>
          </w:tcPr>
          <w:p>
            <w:pPr>
              <w:pStyle w:val="27"/>
              <w:jc w:val="center"/>
              <w:rPr>
                <w:sz w:val="24"/>
              </w:rPr>
            </w:pPr>
            <w:r>
              <w:rPr>
                <w:sz w:val="24"/>
              </w:rPr>
              <w:t>符合“投标人须知前附表”的要求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38" w:type="dxa"/>
            <w:vMerge w:val="restart"/>
            <w:vAlign w:val="center"/>
          </w:tcPr>
          <w:p>
            <w:pPr>
              <w:pStyle w:val="27"/>
              <w:jc w:val="center"/>
              <w:rPr>
                <w:b/>
                <w:sz w:val="24"/>
              </w:rPr>
            </w:pPr>
          </w:p>
          <w:p>
            <w:pPr>
              <w:pStyle w:val="27"/>
              <w:jc w:val="center"/>
              <w:rPr>
                <w:b/>
                <w:sz w:val="24"/>
              </w:rPr>
            </w:pPr>
          </w:p>
          <w:p>
            <w:pPr>
              <w:pStyle w:val="27"/>
              <w:jc w:val="center"/>
              <w:rPr>
                <w:b/>
                <w:sz w:val="24"/>
              </w:rPr>
            </w:pPr>
          </w:p>
          <w:p>
            <w:pPr>
              <w:pStyle w:val="27"/>
              <w:jc w:val="center"/>
              <w:rPr>
                <w:b/>
                <w:sz w:val="24"/>
              </w:rPr>
            </w:pPr>
          </w:p>
          <w:p>
            <w:pPr>
              <w:pStyle w:val="27"/>
              <w:jc w:val="center"/>
              <w:rPr>
                <w:b/>
                <w:sz w:val="24"/>
              </w:rPr>
            </w:pPr>
          </w:p>
          <w:p>
            <w:pPr>
              <w:pStyle w:val="27"/>
              <w:jc w:val="center"/>
              <w:rPr>
                <w:b/>
                <w:sz w:val="23"/>
              </w:rPr>
            </w:pPr>
          </w:p>
          <w:p>
            <w:pPr>
              <w:pStyle w:val="27"/>
              <w:jc w:val="center"/>
              <w:rPr>
                <w:sz w:val="24"/>
              </w:rPr>
            </w:pPr>
            <w:r>
              <w:rPr>
                <w:sz w:val="24"/>
              </w:rPr>
              <w:t>3.1.3</w:t>
            </w:r>
          </w:p>
        </w:tc>
        <w:tc>
          <w:tcPr>
            <w:tcW w:w="1047" w:type="dxa"/>
            <w:vMerge w:val="restart"/>
            <w:vAlign w:val="center"/>
          </w:tcPr>
          <w:p>
            <w:pPr>
              <w:pStyle w:val="27"/>
              <w:jc w:val="center"/>
              <w:rPr>
                <w:sz w:val="24"/>
              </w:rPr>
            </w:pPr>
            <w:r>
              <w:rPr>
                <w:sz w:val="24"/>
              </w:rPr>
              <w:t>响应性评审标准</w:t>
            </w:r>
          </w:p>
        </w:tc>
        <w:tc>
          <w:tcPr>
            <w:tcW w:w="2289" w:type="dxa"/>
            <w:vAlign w:val="center"/>
          </w:tcPr>
          <w:p>
            <w:pPr>
              <w:pStyle w:val="27"/>
              <w:jc w:val="center"/>
              <w:rPr>
                <w:sz w:val="24"/>
              </w:rPr>
            </w:pPr>
            <w:r>
              <w:rPr>
                <w:sz w:val="24"/>
              </w:rPr>
              <w:t>投标内容</w:t>
            </w:r>
          </w:p>
        </w:tc>
        <w:tc>
          <w:tcPr>
            <w:tcW w:w="4912" w:type="dxa"/>
            <w:vAlign w:val="center"/>
          </w:tcPr>
          <w:p>
            <w:pPr>
              <w:pStyle w:val="27"/>
              <w:jc w:val="center"/>
              <w:rPr>
                <w:sz w:val="24"/>
              </w:rPr>
            </w:pPr>
            <w:r>
              <w:rPr>
                <w:sz w:val="24"/>
              </w:rPr>
              <w:t>符合“投标人须知前附表”的要求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rPr>
            </w:pPr>
            <w:r>
              <w:rPr>
                <w:sz w:val="24"/>
              </w:rPr>
              <w:t>服务期限</w:t>
            </w:r>
          </w:p>
        </w:tc>
        <w:tc>
          <w:tcPr>
            <w:tcW w:w="4912" w:type="dxa"/>
            <w:vAlign w:val="center"/>
          </w:tcPr>
          <w:p>
            <w:pPr>
              <w:pStyle w:val="27"/>
              <w:jc w:val="center"/>
              <w:rPr>
                <w:sz w:val="24"/>
              </w:rPr>
            </w:pPr>
            <w:r>
              <w:rPr>
                <w:sz w:val="24"/>
              </w:rPr>
              <w:t>符合“投标人须知前附表”的要求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rPr>
            </w:pPr>
            <w:r>
              <w:rPr>
                <w:sz w:val="24"/>
              </w:rPr>
              <w:t>质量要求</w:t>
            </w:r>
          </w:p>
        </w:tc>
        <w:tc>
          <w:tcPr>
            <w:tcW w:w="4912" w:type="dxa"/>
            <w:vAlign w:val="center"/>
          </w:tcPr>
          <w:p>
            <w:pPr>
              <w:pStyle w:val="27"/>
              <w:jc w:val="center"/>
              <w:rPr>
                <w:sz w:val="24"/>
              </w:rPr>
            </w:pPr>
            <w:r>
              <w:rPr>
                <w:sz w:val="24"/>
              </w:rPr>
              <w:t>符合“投标人须知前附表”的要求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rPr>
            </w:pPr>
            <w:r>
              <w:rPr>
                <w:sz w:val="24"/>
              </w:rPr>
              <w:t>投标有效期</w:t>
            </w:r>
          </w:p>
        </w:tc>
        <w:tc>
          <w:tcPr>
            <w:tcW w:w="4912" w:type="dxa"/>
            <w:vAlign w:val="center"/>
          </w:tcPr>
          <w:p>
            <w:pPr>
              <w:pStyle w:val="27"/>
              <w:jc w:val="center"/>
              <w:rPr>
                <w:sz w:val="24"/>
              </w:rPr>
            </w:pPr>
            <w:r>
              <w:rPr>
                <w:sz w:val="24"/>
              </w:rPr>
              <w:t>符合“投标人须知前附表”的要求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rPr>
            </w:pPr>
            <w:r>
              <w:rPr>
                <w:sz w:val="24"/>
              </w:rPr>
              <w:t>投标报价</w:t>
            </w:r>
          </w:p>
        </w:tc>
        <w:tc>
          <w:tcPr>
            <w:tcW w:w="4912" w:type="dxa"/>
            <w:vAlign w:val="center"/>
          </w:tcPr>
          <w:p>
            <w:pPr>
              <w:pStyle w:val="27"/>
              <w:jc w:val="center"/>
              <w:rPr>
                <w:sz w:val="24"/>
              </w:rPr>
            </w:pPr>
            <w:r>
              <w:rPr>
                <w:sz w:val="24"/>
              </w:rPr>
              <w:t>符合招标文件要求，不得超出招标控制价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38" w:type="dxa"/>
            <w:vMerge w:val="continue"/>
            <w:tcBorders>
              <w:top w:val="nil"/>
            </w:tcBorders>
            <w:vAlign w:val="center"/>
          </w:tcPr>
          <w:p>
            <w:pPr>
              <w:jc w:val="center"/>
              <w:rPr>
                <w:sz w:val="2"/>
                <w:szCs w:val="2"/>
              </w:rPr>
            </w:pPr>
          </w:p>
        </w:tc>
        <w:tc>
          <w:tcPr>
            <w:tcW w:w="1047" w:type="dxa"/>
            <w:vMerge w:val="continue"/>
            <w:tcBorders>
              <w:top w:val="nil"/>
            </w:tcBorders>
            <w:vAlign w:val="center"/>
          </w:tcPr>
          <w:p>
            <w:pPr>
              <w:jc w:val="center"/>
              <w:rPr>
                <w:sz w:val="2"/>
                <w:szCs w:val="2"/>
              </w:rPr>
            </w:pPr>
          </w:p>
        </w:tc>
        <w:tc>
          <w:tcPr>
            <w:tcW w:w="2289" w:type="dxa"/>
            <w:vAlign w:val="center"/>
          </w:tcPr>
          <w:p>
            <w:pPr>
              <w:pStyle w:val="27"/>
              <w:jc w:val="center"/>
              <w:rPr>
                <w:sz w:val="24"/>
              </w:rPr>
            </w:pPr>
            <w:r>
              <w:rPr>
                <w:sz w:val="24"/>
              </w:rPr>
              <w:t>其他要求</w:t>
            </w:r>
          </w:p>
        </w:tc>
        <w:tc>
          <w:tcPr>
            <w:tcW w:w="4912" w:type="dxa"/>
            <w:vAlign w:val="center"/>
          </w:tcPr>
          <w:p>
            <w:pPr>
              <w:pStyle w:val="27"/>
              <w:jc w:val="center"/>
              <w:rPr>
                <w:sz w:val="24"/>
              </w:rPr>
            </w:pPr>
            <w:r>
              <w:rPr>
                <w:sz w:val="24"/>
              </w:rPr>
              <w:t>符合招标文件中各章节的要求</w:t>
            </w:r>
          </w:p>
        </w:tc>
      </w:tr>
    </w:tbl>
    <w:p>
      <w:pPr>
        <w:pStyle w:val="5"/>
        <w:spacing w:before="127"/>
        <w:ind w:left="0"/>
        <w:jc w:val="center"/>
      </w:pPr>
      <w:bookmarkStart w:id="16" w:name="_Toc18865"/>
      <w:r>
        <w:t>二、详细评审标准</w:t>
      </w:r>
      <w:bookmarkEnd w:id="16"/>
    </w:p>
    <w:p/>
    <w:tbl>
      <w:tblPr>
        <w:tblStyle w:val="21"/>
        <w:tblW w:w="91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8"/>
        <w:gridCol w:w="1231"/>
        <w:gridCol w:w="1087"/>
        <w:gridCol w:w="62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b/>
                <w:bCs/>
                <w:sz w:val="24"/>
              </w:rPr>
            </w:pPr>
            <w:r>
              <w:rPr>
                <w:b/>
                <w:bCs/>
                <w:sz w:val="24"/>
              </w:rPr>
              <w:t>序号</w:t>
            </w:r>
          </w:p>
        </w:tc>
        <w:tc>
          <w:tcPr>
            <w:tcW w:w="2318" w:type="dxa"/>
            <w:gridSpan w:val="2"/>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b/>
                <w:bCs/>
                <w:sz w:val="24"/>
              </w:rPr>
            </w:pPr>
            <w:r>
              <w:rPr>
                <w:b/>
                <w:bCs/>
                <w:sz w:val="24"/>
              </w:rPr>
              <w:t>评分因素</w:t>
            </w:r>
          </w:p>
        </w:tc>
        <w:tc>
          <w:tcPr>
            <w:tcW w:w="6244"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b/>
                <w:bCs/>
                <w:sz w:val="24"/>
              </w:rPr>
            </w:pPr>
            <w:r>
              <w:rPr>
                <w:b/>
                <w:bCs/>
                <w:sz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r>
              <w:rPr>
                <w:sz w:val="24"/>
              </w:rPr>
              <w:t>1</w:t>
            </w:r>
          </w:p>
        </w:tc>
        <w:tc>
          <w:tcPr>
            <w:tcW w:w="2318" w:type="dxa"/>
            <w:gridSpan w:val="2"/>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rPr>
              <w:t>投标</w:t>
            </w:r>
            <w:r>
              <w:rPr>
                <w:sz w:val="24"/>
              </w:rPr>
              <w:t>报价</w:t>
            </w:r>
          </w:p>
          <w:p>
            <w:pPr>
              <w:wordWrap w:val="0"/>
              <w:topLinePunct/>
              <w:autoSpaceDE/>
              <w:autoSpaceDN/>
              <w:spacing w:line="360" w:lineRule="auto"/>
              <w:jc w:val="center"/>
              <w:rPr>
                <w:sz w:val="24"/>
              </w:rPr>
            </w:pPr>
            <w:r>
              <w:rPr>
                <w:sz w:val="24"/>
              </w:rPr>
              <w:t>（</w:t>
            </w:r>
            <w:r>
              <w:rPr>
                <w:rFonts w:hint="eastAsia"/>
                <w:sz w:val="24"/>
                <w:lang w:val="en-US"/>
              </w:rPr>
              <w:t>15</w:t>
            </w:r>
            <w:r>
              <w:rPr>
                <w:sz w:val="24"/>
              </w:rPr>
              <w:t>分）</w:t>
            </w:r>
          </w:p>
        </w:tc>
        <w:tc>
          <w:tcPr>
            <w:tcW w:w="6244"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rPr>
                <w:sz w:val="24"/>
                <w:szCs w:val="24"/>
              </w:rPr>
            </w:pPr>
            <w:r>
              <w:rPr>
                <w:rFonts w:hint="eastAsia"/>
                <w:sz w:val="24"/>
                <w:szCs w:val="24"/>
              </w:rPr>
              <w:t>满足招标文件要求且投标价格最低的投标报价为评标基准价,其价格分为满分。</w:t>
            </w:r>
          </w:p>
          <w:p>
            <w:pPr>
              <w:wordWrap w:val="0"/>
              <w:topLinePunct/>
              <w:autoSpaceDE/>
              <w:autoSpaceDN/>
              <w:spacing w:line="360" w:lineRule="auto"/>
              <w:rPr>
                <w:sz w:val="24"/>
                <w:szCs w:val="24"/>
              </w:rPr>
            </w:pPr>
            <w:r>
              <w:rPr>
                <w:rFonts w:hint="eastAsia"/>
                <w:sz w:val="24"/>
                <w:szCs w:val="24"/>
              </w:rPr>
              <w:t>其余各供应商的投标报价得分=评标基准价÷投标报价×</w:t>
            </w:r>
            <w:r>
              <w:rPr>
                <w:rFonts w:hint="eastAsia"/>
                <w:sz w:val="24"/>
                <w:szCs w:val="24"/>
                <w:lang w:val="en-US"/>
              </w:rPr>
              <w:t>15</w:t>
            </w:r>
            <w:r>
              <w:rPr>
                <w:rFonts w:hint="eastAsia"/>
                <w:sz w:val="24"/>
                <w:szCs w:val="24"/>
              </w:rPr>
              <w:t>分。</w:t>
            </w:r>
          </w:p>
          <w:p>
            <w:pPr>
              <w:wordWrap w:val="0"/>
              <w:topLinePunct/>
              <w:autoSpaceDE/>
              <w:autoSpaceDN/>
              <w:spacing w:line="360" w:lineRule="auto"/>
              <w:rPr>
                <w:sz w:val="24"/>
                <w:szCs w:val="24"/>
              </w:rPr>
            </w:pPr>
            <w:r>
              <w:rPr>
                <w:rFonts w:hint="eastAsia"/>
                <w:sz w:val="24"/>
                <w:szCs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wordWrap w:val="0"/>
              <w:topLinePunct/>
              <w:autoSpaceDE/>
              <w:autoSpaceDN/>
              <w:spacing w:line="360" w:lineRule="auto"/>
              <w:rPr>
                <w:sz w:val="24"/>
                <w:szCs w:val="24"/>
              </w:rPr>
            </w:pPr>
            <w:r>
              <w:rPr>
                <w:rFonts w:hint="eastAsia"/>
                <w:sz w:val="24"/>
                <w:szCs w:val="24"/>
              </w:rPr>
              <w:t>为贯彻落实财库〔2011〕181号《政府采购促进中小企业发展暂行办法》，促进中小型企业的发展，评审时给予小型或微利企业6%的价格扣除，用扣除后的价格参与评审。即小微型企业优惠后报价=投标报价*（1-6%）</w:t>
            </w:r>
          </w:p>
          <w:p>
            <w:pPr>
              <w:wordWrap w:val="0"/>
              <w:topLinePunct/>
              <w:autoSpaceDE/>
              <w:autoSpaceDN/>
              <w:spacing w:line="360" w:lineRule="auto"/>
              <w:rPr>
                <w:sz w:val="24"/>
                <w:szCs w:val="24"/>
              </w:rPr>
            </w:pPr>
            <w:r>
              <w:rPr>
                <w:rFonts w:hint="eastAsia"/>
                <w:sz w:val="24"/>
                <w:szCs w:val="24"/>
              </w:rPr>
              <w:t>投标报价扣除相应比例后称为“优惠后评标价”即评标价。</w:t>
            </w:r>
          </w:p>
          <w:p>
            <w:pPr>
              <w:wordWrap w:val="0"/>
              <w:topLinePunct/>
              <w:autoSpaceDE/>
              <w:autoSpaceDN/>
              <w:spacing w:line="360" w:lineRule="auto"/>
              <w:rPr>
                <w:sz w:val="24"/>
                <w:szCs w:val="24"/>
              </w:rPr>
            </w:pPr>
            <w:r>
              <w:rPr>
                <w:rFonts w:hint="eastAsia"/>
                <w:sz w:val="24"/>
                <w:szCs w:val="24"/>
              </w:rPr>
              <w:t>凡未按规定提供《中小企业声明函》原件（声明函格式详见附件）及相应的中小企业证明材料的；或代理国内外大型企业产品的，均不得统计为中小企业。中小企业用优惠后评标价参与评分。</w:t>
            </w:r>
          </w:p>
          <w:p>
            <w:pPr>
              <w:wordWrap w:val="0"/>
              <w:topLinePunct/>
              <w:autoSpaceDE/>
              <w:autoSpaceDN/>
              <w:spacing w:line="360" w:lineRule="auto"/>
              <w:rPr>
                <w:sz w:val="24"/>
                <w:szCs w:val="24"/>
              </w:rPr>
            </w:pPr>
            <w:r>
              <w:rPr>
                <w:rFonts w:hint="eastAsia"/>
                <w:sz w:val="24"/>
                <w:szCs w:val="24"/>
              </w:rPr>
              <w:t>中小企业划型标准以工信部联企业〔2011〕300号《工业和信息化部国家统计局国家发展和改革委财政部关于印发中小企业划型标准规定的通知》及《政府采购促进中小企业发展暂行办法的通知》财库【2011】181号为依据。</w:t>
            </w:r>
          </w:p>
          <w:p>
            <w:pPr>
              <w:wordWrap w:val="0"/>
              <w:topLinePunct/>
              <w:autoSpaceDE/>
              <w:autoSpaceDN/>
              <w:spacing w:line="360" w:lineRule="auto"/>
              <w:rPr>
                <w:sz w:val="24"/>
                <w:szCs w:val="24"/>
              </w:rPr>
            </w:pPr>
            <w:r>
              <w:rPr>
                <w:rFonts w:hint="eastAsia"/>
                <w:sz w:val="24"/>
                <w:szCs w:val="24"/>
              </w:rPr>
              <w:t>监狱企业及社会福利企业视同中小企业，但必须提供相应的证明材料。</w:t>
            </w:r>
          </w:p>
          <w:p>
            <w:pPr>
              <w:wordWrap w:val="0"/>
              <w:topLinePunct/>
              <w:autoSpaceDE/>
              <w:autoSpaceDN/>
              <w:spacing w:line="360" w:lineRule="auto"/>
              <w:rPr>
                <w:sz w:val="24"/>
              </w:rPr>
            </w:pPr>
            <w:r>
              <w:rPr>
                <w:rFonts w:hint="eastAsia"/>
                <w:sz w:val="24"/>
                <w:szCs w:val="24"/>
              </w:rPr>
              <w:t>有效供应商是指实质上响应招标文件要求并通过实质性审核未被废标的所有供应商。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28"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r>
              <w:rPr>
                <w:sz w:val="24"/>
              </w:rPr>
              <w:t>2</w:t>
            </w:r>
          </w:p>
        </w:tc>
        <w:tc>
          <w:tcPr>
            <w:tcW w:w="1231" w:type="dxa"/>
            <w:vMerge w:val="restart"/>
            <w:tcBorders>
              <w:top w:val="single" w:color="auto" w:sz="4" w:space="0"/>
              <w:left w:val="nil"/>
              <w:bottom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rPr>
              <w:t>技术</w:t>
            </w:r>
            <w:r>
              <w:rPr>
                <w:rFonts w:hint="eastAsia"/>
                <w:sz w:val="24"/>
                <w:lang w:val="en-US"/>
              </w:rPr>
              <w:t>部分</w:t>
            </w:r>
          </w:p>
          <w:p>
            <w:pPr>
              <w:wordWrap w:val="0"/>
              <w:topLinePunct/>
              <w:autoSpaceDE/>
              <w:autoSpaceDN/>
              <w:spacing w:line="360" w:lineRule="auto"/>
              <w:jc w:val="center"/>
              <w:rPr>
                <w:sz w:val="24"/>
              </w:rPr>
            </w:pPr>
            <w:r>
              <w:rPr>
                <w:rFonts w:hint="eastAsia"/>
                <w:sz w:val="24"/>
              </w:rPr>
              <w:t>（</w:t>
            </w:r>
            <w:r>
              <w:rPr>
                <w:rFonts w:hint="eastAsia"/>
                <w:sz w:val="24"/>
                <w:lang w:val="en-US"/>
              </w:rPr>
              <w:t>66分</w:t>
            </w:r>
            <w:r>
              <w:rPr>
                <w:rFonts w:hint="eastAsia"/>
                <w:sz w:val="24"/>
              </w:rPr>
              <w:t>）</w:t>
            </w:r>
          </w:p>
        </w:tc>
        <w:tc>
          <w:tcPr>
            <w:tcW w:w="1087"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rPr>
              <w:t>技术指标（</w:t>
            </w:r>
            <w:r>
              <w:rPr>
                <w:rFonts w:hint="eastAsia"/>
                <w:sz w:val="24"/>
                <w:lang w:val="en-US"/>
              </w:rPr>
              <w:t>21</w:t>
            </w:r>
            <w:r>
              <w:rPr>
                <w:rFonts w:hint="eastAsia"/>
                <w:sz w:val="24"/>
              </w:rPr>
              <w:t>分）</w:t>
            </w:r>
          </w:p>
        </w:tc>
        <w:tc>
          <w:tcPr>
            <w:tcW w:w="6244"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rPr>
                <w:sz w:val="24"/>
              </w:rPr>
            </w:pPr>
            <w:r>
              <w:rPr>
                <w:rFonts w:hint="eastAsia"/>
                <w:sz w:val="24"/>
              </w:rPr>
              <w:t>完全满足招标文件技术参数要求，得满分21分，技术参数每一项不满足扣3分，扣完为止。任何一项产品技术指标如有一处被评标委员会一致认定为重大负偏离差从而影响到产品正常运行的，则产品技术指标得分为0分，且不予推荐为成交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3"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231" w:type="dxa"/>
            <w:vMerge w:val="continue"/>
            <w:tcBorders>
              <w:top w:val="single" w:color="auto" w:sz="4" w:space="0"/>
              <w:left w:val="nil"/>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087" w:type="dxa"/>
            <w:vMerge w:val="restart"/>
            <w:tcBorders>
              <w:top w:val="single" w:color="auto" w:sz="4" w:space="0"/>
              <w:left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rPr>
              <w:t>技术方案（</w:t>
            </w:r>
            <w:r>
              <w:rPr>
                <w:rFonts w:hint="eastAsia"/>
                <w:sz w:val="24"/>
                <w:lang w:val="en-US"/>
              </w:rPr>
              <w:t>10</w:t>
            </w:r>
            <w:r>
              <w:rPr>
                <w:rFonts w:hint="eastAsia"/>
                <w:sz w:val="24"/>
              </w:rPr>
              <w:t>分）</w:t>
            </w:r>
          </w:p>
        </w:tc>
        <w:tc>
          <w:tcPr>
            <w:tcW w:w="62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sz w:val="24"/>
              </w:rPr>
            </w:pPr>
            <w:r>
              <w:rPr>
                <w:rFonts w:hint="eastAsia"/>
                <w:sz w:val="24"/>
              </w:rPr>
              <w:t>（</w:t>
            </w:r>
            <w:r>
              <w:rPr>
                <w:rFonts w:hint="eastAsia"/>
                <w:sz w:val="24"/>
                <w:lang w:val="en-US"/>
              </w:rPr>
              <w:t>1</w:t>
            </w:r>
            <w:r>
              <w:rPr>
                <w:rFonts w:hint="eastAsia"/>
                <w:sz w:val="24"/>
              </w:rPr>
              <w:t>）投标人根据本项目具体需求制定针对性的点位选择和布设方案，方案思路清晰、合理、针对性强的得4-5分；</w:t>
            </w:r>
          </w:p>
          <w:p>
            <w:pPr>
              <w:adjustRightInd w:val="0"/>
              <w:snapToGrid w:val="0"/>
              <w:spacing w:line="288" w:lineRule="auto"/>
              <w:rPr>
                <w:sz w:val="24"/>
              </w:rPr>
            </w:pPr>
            <w:r>
              <w:rPr>
                <w:rFonts w:hint="eastAsia"/>
                <w:sz w:val="24"/>
              </w:rPr>
              <w:t>方案思路较清晰较合理、有一定针对性的得2-3分；</w:t>
            </w:r>
          </w:p>
          <w:p>
            <w:pPr>
              <w:adjustRightInd w:val="0"/>
              <w:snapToGrid w:val="0"/>
              <w:spacing w:line="288" w:lineRule="auto"/>
              <w:rPr>
                <w:sz w:val="24"/>
              </w:rPr>
            </w:pPr>
            <w:r>
              <w:rPr>
                <w:rFonts w:hint="eastAsia"/>
                <w:sz w:val="24"/>
              </w:rPr>
              <w:t>方案一般的得0-1分。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1"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231" w:type="dxa"/>
            <w:vMerge w:val="continue"/>
            <w:tcBorders>
              <w:top w:val="single" w:color="auto" w:sz="4" w:space="0"/>
              <w:left w:val="nil"/>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087" w:type="dxa"/>
            <w:vMerge w:val="continue"/>
            <w:tcBorders>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62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rPr>
                <w:sz w:val="24"/>
              </w:rPr>
            </w:pPr>
            <w:r>
              <w:rPr>
                <w:rFonts w:hint="eastAsia"/>
                <w:sz w:val="24"/>
              </w:rPr>
              <w:t>（</w:t>
            </w:r>
            <w:r>
              <w:rPr>
                <w:rFonts w:hint="eastAsia"/>
                <w:sz w:val="24"/>
                <w:lang w:val="en-US"/>
              </w:rPr>
              <w:t>2</w:t>
            </w:r>
            <w:r>
              <w:rPr>
                <w:rFonts w:hint="eastAsia"/>
                <w:sz w:val="24"/>
              </w:rPr>
              <w:t>）根据投标产品的供货计划、安装及调试方案及确保货物安装质量的保障措施等方面进行综合评定：</w:t>
            </w:r>
          </w:p>
          <w:p>
            <w:pPr>
              <w:widowControl/>
              <w:snapToGrid w:val="0"/>
              <w:spacing w:line="288" w:lineRule="auto"/>
              <w:rPr>
                <w:sz w:val="24"/>
              </w:rPr>
            </w:pPr>
            <w:r>
              <w:rPr>
                <w:rFonts w:hint="eastAsia"/>
                <w:sz w:val="24"/>
              </w:rPr>
              <w:t>项目实施及保证措施内容科学合理的4-5分；</w:t>
            </w:r>
          </w:p>
          <w:p>
            <w:pPr>
              <w:widowControl/>
              <w:snapToGrid w:val="0"/>
              <w:spacing w:line="288" w:lineRule="auto"/>
              <w:rPr>
                <w:sz w:val="24"/>
              </w:rPr>
            </w:pPr>
            <w:r>
              <w:rPr>
                <w:rFonts w:hint="eastAsia"/>
                <w:sz w:val="24"/>
              </w:rPr>
              <w:t>内容较完备可行2-3分；</w:t>
            </w:r>
          </w:p>
          <w:p>
            <w:pPr>
              <w:wordWrap w:val="0"/>
              <w:topLinePunct/>
              <w:autoSpaceDE/>
              <w:autoSpaceDN/>
              <w:spacing w:line="360" w:lineRule="auto"/>
              <w:rPr>
                <w:sz w:val="24"/>
              </w:rPr>
            </w:pPr>
            <w:r>
              <w:rPr>
                <w:rFonts w:hint="eastAsia"/>
                <w:sz w:val="24"/>
              </w:rPr>
              <w:t>内容一般得0-1分。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7"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231" w:type="dxa"/>
            <w:vMerge w:val="continue"/>
            <w:tcBorders>
              <w:top w:val="single" w:color="auto" w:sz="4" w:space="0"/>
              <w:left w:val="nil"/>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087"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rPr>
              <w:t>质控方案（5分）</w:t>
            </w:r>
          </w:p>
        </w:tc>
        <w:tc>
          <w:tcPr>
            <w:tcW w:w="6244"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rPr>
                <w:sz w:val="24"/>
              </w:rPr>
            </w:pPr>
            <w:r>
              <w:rPr>
                <w:rFonts w:hint="eastAsia"/>
                <w:sz w:val="24"/>
              </w:rPr>
              <w:t>投标人建立针对本项目服务期内完整的质量保证和质量控制体系，评委根据其编制水平进行横向比较，内容科学合理的4-5分；内容较完备可行得2-3分；内容一般得0-1分。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0"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231" w:type="dxa"/>
            <w:vMerge w:val="continue"/>
            <w:tcBorders>
              <w:top w:val="single" w:color="auto" w:sz="4" w:space="0"/>
              <w:left w:val="nil"/>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087"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rPr>
              <w:t>技术能力（</w:t>
            </w:r>
            <w:r>
              <w:rPr>
                <w:rFonts w:hint="eastAsia"/>
                <w:sz w:val="24"/>
                <w:lang w:val="en-US"/>
              </w:rPr>
              <w:t>10</w:t>
            </w:r>
            <w:r>
              <w:rPr>
                <w:rFonts w:hint="eastAsia"/>
                <w:sz w:val="24"/>
              </w:rPr>
              <w:t>分）</w:t>
            </w:r>
          </w:p>
        </w:tc>
        <w:tc>
          <w:tcPr>
            <w:tcW w:w="6244"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rPr>
                <w:sz w:val="24"/>
                <w:szCs w:val="24"/>
              </w:rPr>
            </w:pPr>
            <w:r>
              <w:rPr>
                <w:rFonts w:hint="eastAsia"/>
                <w:sz w:val="24"/>
                <w:szCs w:val="24"/>
                <w:lang w:val="en-US"/>
              </w:rPr>
              <w:t>（1）</w:t>
            </w:r>
            <w:r>
              <w:rPr>
                <w:rFonts w:hint="eastAsia"/>
                <w:sz w:val="24"/>
                <w:szCs w:val="24"/>
              </w:rPr>
              <w:t>投标人所投标产品（便携式TVOC传感监测、便携式空气质量监测仪）具有省级或省级以上计量检测单位出具的技术检测报告的得2分，未提供或提供不完全者不得分。</w:t>
            </w:r>
          </w:p>
          <w:p>
            <w:pPr>
              <w:wordWrap w:val="0"/>
              <w:topLinePunct/>
              <w:autoSpaceDE/>
              <w:autoSpaceDN/>
              <w:spacing w:line="360" w:lineRule="auto"/>
              <w:rPr>
                <w:sz w:val="24"/>
                <w:szCs w:val="24"/>
              </w:rPr>
            </w:pPr>
            <w:r>
              <w:rPr>
                <w:rFonts w:hint="eastAsia"/>
                <w:sz w:val="24"/>
                <w:szCs w:val="24"/>
              </w:rPr>
              <w:t>（</w:t>
            </w:r>
            <w:r>
              <w:rPr>
                <w:rFonts w:hint="eastAsia"/>
                <w:sz w:val="24"/>
                <w:szCs w:val="24"/>
                <w:lang w:val="en-US"/>
              </w:rPr>
              <w:t>2</w:t>
            </w:r>
            <w:r>
              <w:rPr>
                <w:rFonts w:hint="eastAsia"/>
                <w:sz w:val="24"/>
                <w:szCs w:val="24"/>
              </w:rPr>
              <w:t>）投标人所投标产品（七参数微型站、两参数微型站）具有中国环境保护产品认证证书的得2分，未提供或提供不完全者不得分。</w:t>
            </w:r>
          </w:p>
          <w:p>
            <w:pPr>
              <w:wordWrap w:val="0"/>
              <w:topLinePunct/>
              <w:autoSpaceDE/>
              <w:autoSpaceDN/>
              <w:spacing w:line="360" w:lineRule="auto"/>
              <w:rPr>
                <w:sz w:val="24"/>
                <w:szCs w:val="24"/>
              </w:rPr>
            </w:pPr>
            <w:r>
              <w:rPr>
                <w:rFonts w:hint="eastAsia"/>
                <w:sz w:val="24"/>
                <w:szCs w:val="24"/>
              </w:rPr>
              <w:t>（</w:t>
            </w:r>
            <w:r>
              <w:rPr>
                <w:rFonts w:hint="eastAsia"/>
                <w:sz w:val="24"/>
                <w:szCs w:val="24"/>
                <w:lang w:val="en-US"/>
              </w:rPr>
              <w:t>3</w:t>
            </w:r>
            <w:r>
              <w:rPr>
                <w:rFonts w:hint="eastAsia"/>
                <w:sz w:val="24"/>
                <w:szCs w:val="24"/>
              </w:rPr>
              <w:t>）投标人具有CMMI证书</w:t>
            </w:r>
            <w:r>
              <w:rPr>
                <w:rFonts w:hint="eastAsia"/>
                <w:sz w:val="24"/>
                <w:szCs w:val="24"/>
                <w:lang w:val="en-US"/>
              </w:rPr>
              <w:t>5</w:t>
            </w:r>
            <w:r>
              <w:rPr>
                <w:rFonts w:hint="eastAsia"/>
                <w:sz w:val="24"/>
                <w:szCs w:val="24"/>
              </w:rPr>
              <w:t>级或以上得</w:t>
            </w:r>
            <w:r>
              <w:rPr>
                <w:rFonts w:hint="eastAsia"/>
                <w:sz w:val="24"/>
                <w:szCs w:val="24"/>
                <w:lang w:val="en-US"/>
              </w:rPr>
              <w:t>2</w:t>
            </w:r>
            <w:r>
              <w:rPr>
                <w:rFonts w:hint="eastAsia"/>
                <w:sz w:val="24"/>
                <w:szCs w:val="24"/>
              </w:rPr>
              <w:t>分。</w:t>
            </w:r>
          </w:p>
          <w:p>
            <w:pPr>
              <w:pStyle w:val="2"/>
              <w:wordWrap w:val="0"/>
              <w:topLinePunct/>
              <w:autoSpaceDE/>
              <w:autoSpaceDN/>
              <w:spacing w:after="0" w:line="360" w:lineRule="auto"/>
              <w:ind w:left="0" w:leftChars="0"/>
            </w:pPr>
            <w:r>
              <w:rPr>
                <w:rFonts w:hint="eastAsia" w:ascii="宋体" w:hAnsi="宋体"/>
                <w:kern w:val="0"/>
                <w:sz w:val="24"/>
              </w:rPr>
              <w:t>（</w:t>
            </w:r>
            <w:r>
              <w:rPr>
                <w:rFonts w:hint="eastAsia" w:ascii="宋体" w:hAnsi="宋体"/>
                <w:kern w:val="0"/>
                <w:sz w:val="24"/>
                <w:lang w:val="en-US"/>
              </w:rPr>
              <w:t>4</w:t>
            </w:r>
            <w:r>
              <w:rPr>
                <w:rFonts w:hint="eastAsia" w:ascii="宋体" w:hAnsi="宋体"/>
                <w:kern w:val="0"/>
                <w:sz w:val="24"/>
              </w:rPr>
              <w:t>）投标人具有网格化监测平台软件著作权证书、网格化移动APP软件著作权证书、网格化监测执法调度监测平台软件著作权证书、大气预警系统软件著作权证书的每项得1分，最多得4分，未提供不得分。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231" w:type="dxa"/>
            <w:vMerge w:val="continue"/>
            <w:tcBorders>
              <w:top w:val="single" w:color="auto" w:sz="4" w:space="0"/>
              <w:left w:val="nil"/>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087"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rPr>
              <w:t>服务能力（</w:t>
            </w:r>
            <w:r>
              <w:rPr>
                <w:rFonts w:hint="eastAsia"/>
                <w:sz w:val="24"/>
                <w:lang w:val="en-US"/>
              </w:rPr>
              <w:t>10分</w:t>
            </w:r>
            <w:r>
              <w:rPr>
                <w:rFonts w:hint="eastAsia"/>
                <w:sz w:val="24"/>
              </w:rPr>
              <w:t>）</w:t>
            </w:r>
          </w:p>
        </w:tc>
        <w:tc>
          <w:tcPr>
            <w:tcW w:w="6244"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napToGrid w:val="0"/>
              <w:spacing w:line="288" w:lineRule="auto"/>
              <w:rPr>
                <w:sz w:val="24"/>
              </w:rPr>
            </w:pPr>
            <w:r>
              <w:rPr>
                <w:rFonts w:hint="eastAsia"/>
                <w:sz w:val="24"/>
              </w:rPr>
              <w:t>（</w:t>
            </w:r>
            <w:r>
              <w:rPr>
                <w:rFonts w:hint="eastAsia"/>
                <w:sz w:val="24"/>
                <w:lang w:val="en-US"/>
              </w:rPr>
              <w:t>1</w:t>
            </w:r>
            <w:r>
              <w:rPr>
                <w:rFonts w:hint="eastAsia"/>
                <w:sz w:val="24"/>
              </w:rPr>
              <w:t>）投标人具有网格化监测预警系统运营服务证书得2分（证书服务项目须含微型空气站、VOC预警）。</w:t>
            </w:r>
          </w:p>
          <w:p>
            <w:pPr>
              <w:pStyle w:val="2"/>
              <w:wordWrap w:val="0"/>
              <w:topLinePunct/>
              <w:autoSpaceDE/>
              <w:autoSpaceDN/>
              <w:spacing w:after="0" w:line="360" w:lineRule="auto"/>
              <w:ind w:left="0" w:leftChars="0"/>
              <w:rPr>
                <w:rFonts w:ascii="宋体" w:hAnsi="宋体"/>
                <w:kern w:val="0"/>
                <w:sz w:val="24"/>
              </w:rPr>
            </w:pPr>
            <w:r>
              <w:rPr>
                <w:rFonts w:hint="eastAsia" w:ascii="宋体" w:hAnsi="宋体"/>
                <w:kern w:val="0"/>
                <w:sz w:val="24"/>
              </w:rPr>
              <w:t>（</w:t>
            </w:r>
            <w:r>
              <w:rPr>
                <w:rFonts w:hint="eastAsia" w:ascii="宋体" w:hAnsi="宋体"/>
                <w:kern w:val="0"/>
                <w:sz w:val="24"/>
                <w:lang w:val="en-US"/>
              </w:rPr>
              <w:t>2</w:t>
            </w:r>
            <w:r>
              <w:rPr>
                <w:rFonts w:hint="eastAsia" w:ascii="宋体" w:hAnsi="宋体"/>
                <w:kern w:val="0"/>
                <w:sz w:val="24"/>
              </w:rPr>
              <w:t>）投标人具有五星售后服务认证证书，且认证范围有网格化监测设备、微型站、环境管理咨询的得2分。</w:t>
            </w:r>
          </w:p>
          <w:p>
            <w:pPr>
              <w:pStyle w:val="2"/>
              <w:wordWrap w:val="0"/>
              <w:topLinePunct/>
              <w:autoSpaceDE/>
              <w:autoSpaceDN/>
              <w:spacing w:after="0" w:line="360" w:lineRule="auto"/>
              <w:ind w:left="0" w:leftChars="0"/>
              <w:rPr>
                <w:rFonts w:ascii="宋体" w:hAnsi="宋体"/>
                <w:kern w:val="0"/>
                <w:sz w:val="24"/>
              </w:rPr>
            </w:pPr>
            <w:r>
              <w:rPr>
                <w:rFonts w:hint="eastAsia" w:ascii="宋体" w:hAnsi="宋体"/>
                <w:kern w:val="0"/>
                <w:sz w:val="24"/>
              </w:rPr>
              <w:t>（3）投标人详细说明售后服务的内容、形式、含维护人员组成、免费维护时间、解决质量或操作问题的响应时间、解决问题时间。描述完整、内容详尽得</w:t>
            </w:r>
            <w:r>
              <w:rPr>
                <w:rFonts w:ascii="宋体" w:hAnsi="宋体"/>
                <w:kern w:val="0"/>
                <w:sz w:val="24"/>
              </w:rPr>
              <w:t xml:space="preserve"> </w:t>
            </w:r>
            <w:r>
              <w:rPr>
                <w:rFonts w:hint="eastAsia" w:ascii="宋体" w:hAnsi="宋体"/>
                <w:kern w:val="0"/>
                <w:sz w:val="24"/>
              </w:rPr>
              <w:t>5</w:t>
            </w:r>
            <w:r>
              <w:rPr>
                <w:rFonts w:ascii="宋体" w:hAnsi="宋体"/>
                <w:kern w:val="0"/>
                <w:sz w:val="24"/>
              </w:rPr>
              <w:t>-</w:t>
            </w:r>
            <w:r>
              <w:rPr>
                <w:rFonts w:hint="eastAsia" w:ascii="宋体" w:hAnsi="宋体"/>
                <w:kern w:val="0"/>
                <w:sz w:val="24"/>
              </w:rPr>
              <w:t>6</w:t>
            </w:r>
            <w:r>
              <w:rPr>
                <w:rFonts w:ascii="宋体" w:hAnsi="宋体"/>
                <w:kern w:val="0"/>
                <w:sz w:val="24"/>
              </w:rPr>
              <w:t xml:space="preserve"> 分，基本完整、内容较详尽得 </w:t>
            </w:r>
            <w:r>
              <w:rPr>
                <w:rFonts w:hint="eastAsia" w:ascii="宋体" w:hAnsi="宋体"/>
                <w:kern w:val="0"/>
                <w:sz w:val="24"/>
              </w:rPr>
              <w:t>3</w:t>
            </w:r>
            <w:r>
              <w:rPr>
                <w:rFonts w:ascii="宋体" w:hAnsi="宋体"/>
                <w:kern w:val="0"/>
                <w:sz w:val="24"/>
              </w:rPr>
              <w:t>-</w:t>
            </w:r>
            <w:r>
              <w:rPr>
                <w:rFonts w:hint="eastAsia" w:ascii="宋体" w:hAnsi="宋体"/>
                <w:kern w:val="0"/>
                <w:sz w:val="24"/>
              </w:rPr>
              <w:t>4</w:t>
            </w:r>
            <w:r>
              <w:rPr>
                <w:rFonts w:ascii="宋体" w:hAnsi="宋体"/>
                <w:kern w:val="0"/>
                <w:sz w:val="24"/>
              </w:rPr>
              <w:t xml:space="preserve"> 分，其它情况得</w:t>
            </w:r>
            <w:r>
              <w:rPr>
                <w:rFonts w:hint="eastAsia" w:ascii="宋体" w:hAnsi="宋体"/>
                <w:kern w:val="0"/>
                <w:sz w:val="24"/>
              </w:rPr>
              <w:t>1-2</w:t>
            </w:r>
            <w:r>
              <w:rPr>
                <w:rFonts w:ascii="宋体" w:hAnsi="宋体"/>
                <w:kern w:val="0"/>
                <w:sz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7"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231" w:type="dxa"/>
            <w:vMerge w:val="continue"/>
            <w:tcBorders>
              <w:top w:val="single" w:color="auto" w:sz="4" w:space="0"/>
              <w:left w:val="nil"/>
              <w:bottom w:val="single" w:color="auto" w:sz="4" w:space="0"/>
              <w:right w:val="single" w:color="auto" w:sz="4" w:space="0"/>
            </w:tcBorders>
            <w:vAlign w:val="center"/>
          </w:tcPr>
          <w:p>
            <w:pPr>
              <w:wordWrap w:val="0"/>
              <w:topLinePunct/>
              <w:autoSpaceDE/>
              <w:autoSpaceDN/>
              <w:spacing w:line="360" w:lineRule="auto"/>
              <w:jc w:val="center"/>
              <w:rPr>
                <w:sz w:val="24"/>
              </w:rPr>
            </w:pPr>
          </w:p>
        </w:tc>
        <w:tc>
          <w:tcPr>
            <w:tcW w:w="1087"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rPr>
              <w:t>服务方案</w:t>
            </w:r>
            <w:r>
              <w:rPr>
                <w:sz w:val="24"/>
              </w:rPr>
              <w:t>(</w:t>
            </w:r>
            <w:r>
              <w:rPr>
                <w:rFonts w:hint="eastAsia"/>
                <w:sz w:val="24"/>
                <w:lang w:val="en-US"/>
              </w:rPr>
              <w:t>10</w:t>
            </w:r>
            <w:r>
              <w:rPr>
                <w:rFonts w:hint="eastAsia"/>
                <w:sz w:val="24"/>
              </w:rPr>
              <w:t>分</w:t>
            </w:r>
            <w:r>
              <w:rPr>
                <w:sz w:val="24"/>
              </w:rPr>
              <w:t>)</w:t>
            </w:r>
          </w:p>
        </w:tc>
        <w:tc>
          <w:tcPr>
            <w:tcW w:w="6244"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napToGrid w:val="0"/>
              <w:spacing w:line="288" w:lineRule="auto"/>
              <w:rPr>
                <w:sz w:val="24"/>
              </w:rPr>
            </w:pPr>
            <w:r>
              <w:rPr>
                <w:rFonts w:hint="eastAsia"/>
                <w:sz w:val="24"/>
                <w:lang w:val="en-US"/>
              </w:rPr>
              <w:t>（1）</w:t>
            </w:r>
            <w:r>
              <w:rPr>
                <w:rFonts w:hint="eastAsia"/>
                <w:sz w:val="24"/>
              </w:rPr>
              <w:t>由评委根据各投标人提供的服务方案包括人员、车辆、设备配置、运维制度，横向比较酌情评分，描述完整、内容详尽得</w:t>
            </w:r>
            <w:r>
              <w:rPr>
                <w:sz w:val="24"/>
              </w:rPr>
              <w:t xml:space="preserve"> </w:t>
            </w:r>
            <w:r>
              <w:rPr>
                <w:rFonts w:hint="eastAsia"/>
                <w:sz w:val="24"/>
              </w:rPr>
              <w:t>4</w:t>
            </w:r>
            <w:r>
              <w:rPr>
                <w:sz w:val="24"/>
              </w:rPr>
              <w:t>-</w:t>
            </w:r>
            <w:r>
              <w:rPr>
                <w:rFonts w:hint="eastAsia"/>
                <w:sz w:val="24"/>
              </w:rPr>
              <w:t>5</w:t>
            </w:r>
            <w:r>
              <w:rPr>
                <w:sz w:val="24"/>
              </w:rPr>
              <w:t xml:space="preserve">分，基本完整、内容较详尽得 </w:t>
            </w:r>
            <w:r>
              <w:rPr>
                <w:rFonts w:hint="eastAsia"/>
                <w:sz w:val="24"/>
              </w:rPr>
              <w:t>2</w:t>
            </w:r>
            <w:r>
              <w:rPr>
                <w:sz w:val="24"/>
              </w:rPr>
              <w:t>-</w:t>
            </w:r>
            <w:r>
              <w:rPr>
                <w:rFonts w:hint="eastAsia"/>
                <w:sz w:val="24"/>
              </w:rPr>
              <w:t>3</w:t>
            </w:r>
            <w:r>
              <w:rPr>
                <w:sz w:val="24"/>
              </w:rPr>
              <w:t xml:space="preserve"> 分，其它情况得</w:t>
            </w:r>
            <w:r>
              <w:rPr>
                <w:rFonts w:hint="eastAsia"/>
                <w:sz w:val="24"/>
              </w:rPr>
              <w:t>0-1</w:t>
            </w:r>
            <w:r>
              <w:rPr>
                <w:sz w:val="24"/>
              </w:rPr>
              <w:t>分</w:t>
            </w:r>
            <w:r>
              <w:rPr>
                <w:rFonts w:hint="eastAsia"/>
              </w:rPr>
              <w:t>。</w:t>
            </w:r>
          </w:p>
          <w:p>
            <w:pPr>
              <w:wordWrap w:val="0"/>
              <w:topLinePunct/>
              <w:autoSpaceDE/>
              <w:autoSpaceDN/>
              <w:spacing w:line="360" w:lineRule="auto"/>
              <w:rPr>
                <w:sz w:val="24"/>
              </w:rPr>
            </w:pPr>
            <w:r>
              <w:rPr>
                <w:rFonts w:hint="eastAsia"/>
                <w:sz w:val="24"/>
              </w:rPr>
              <w:t>（</w:t>
            </w:r>
            <w:r>
              <w:rPr>
                <w:rFonts w:hint="eastAsia"/>
                <w:sz w:val="24"/>
                <w:lang w:val="en-US"/>
              </w:rPr>
              <w:t>2</w:t>
            </w:r>
            <w:r>
              <w:rPr>
                <w:rFonts w:hint="eastAsia"/>
                <w:sz w:val="24"/>
              </w:rPr>
              <w:t>）由评委根据各投标人所提供的培训计划差异横向对比酌情评分，描述完整、内容详尽得</w:t>
            </w:r>
            <w:r>
              <w:rPr>
                <w:sz w:val="24"/>
              </w:rPr>
              <w:t xml:space="preserve"> 4-5分，基本完整、内容较详尽得 2-3 分，其它情况得</w:t>
            </w:r>
            <w:r>
              <w:rPr>
                <w:rFonts w:hint="eastAsia"/>
                <w:sz w:val="24"/>
              </w:rPr>
              <w:t>0-1</w:t>
            </w:r>
            <w:r>
              <w:rPr>
                <w:sz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628" w:type="dxa"/>
            <w:vMerge w:val="restart"/>
            <w:tcBorders>
              <w:top w:val="single" w:color="auto" w:sz="4" w:space="0"/>
              <w:left w:val="single" w:color="auto" w:sz="4" w:space="0"/>
              <w:right w:val="single" w:color="auto" w:sz="4" w:space="0"/>
            </w:tcBorders>
            <w:vAlign w:val="center"/>
          </w:tcPr>
          <w:p>
            <w:pPr>
              <w:wordWrap w:val="0"/>
              <w:topLinePunct/>
              <w:autoSpaceDE/>
              <w:autoSpaceDN/>
              <w:spacing w:line="360" w:lineRule="auto"/>
              <w:jc w:val="center"/>
              <w:rPr>
                <w:sz w:val="24"/>
              </w:rPr>
            </w:pPr>
            <w:r>
              <w:rPr>
                <w:sz w:val="24"/>
              </w:rPr>
              <w:t>3</w:t>
            </w:r>
          </w:p>
        </w:tc>
        <w:tc>
          <w:tcPr>
            <w:tcW w:w="1231" w:type="dxa"/>
            <w:vMerge w:val="restart"/>
            <w:tcBorders>
              <w:top w:val="single" w:color="auto" w:sz="4" w:space="0"/>
              <w:left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rPr>
              <w:t>商务</w:t>
            </w:r>
            <w:r>
              <w:rPr>
                <w:rFonts w:hint="eastAsia"/>
                <w:sz w:val="24"/>
                <w:lang w:val="en-US"/>
              </w:rPr>
              <w:t>部分</w:t>
            </w:r>
          </w:p>
          <w:p>
            <w:pPr>
              <w:wordWrap w:val="0"/>
              <w:topLinePunct/>
              <w:autoSpaceDE/>
              <w:autoSpaceDN/>
              <w:spacing w:line="360" w:lineRule="auto"/>
              <w:jc w:val="center"/>
              <w:rPr>
                <w:sz w:val="24"/>
              </w:rPr>
            </w:pPr>
            <w:r>
              <w:rPr>
                <w:rFonts w:hint="eastAsia"/>
                <w:sz w:val="24"/>
              </w:rPr>
              <w:t>（</w:t>
            </w:r>
            <w:r>
              <w:rPr>
                <w:rFonts w:hint="eastAsia"/>
                <w:sz w:val="24"/>
                <w:lang w:val="en-US"/>
              </w:rPr>
              <w:t>19</w:t>
            </w:r>
            <w:r>
              <w:rPr>
                <w:rFonts w:hint="eastAsia"/>
                <w:sz w:val="24"/>
              </w:rPr>
              <w:t>分）</w:t>
            </w:r>
          </w:p>
        </w:tc>
        <w:tc>
          <w:tcPr>
            <w:tcW w:w="1087"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lang w:val="en-US"/>
              </w:rPr>
              <w:t>投标人实力</w:t>
            </w:r>
            <w:r>
              <w:rPr>
                <w:rFonts w:hint="eastAsia"/>
                <w:sz w:val="24"/>
              </w:rPr>
              <w:t>（</w:t>
            </w:r>
            <w:r>
              <w:rPr>
                <w:rFonts w:hint="eastAsia"/>
                <w:sz w:val="24"/>
                <w:lang w:val="en-US"/>
              </w:rPr>
              <w:t>9</w:t>
            </w:r>
            <w:r>
              <w:rPr>
                <w:rFonts w:hint="eastAsia"/>
                <w:sz w:val="24"/>
              </w:rPr>
              <w:t>分）</w:t>
            </w:r>
          </w:p>
        </w:tc>
        <w:tc>
          <w:tcPr>
            <w:tcW w:w="6244"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rPr>
                <w:sz w:val="24"/>
                <w:szCs w:val="24"/>
              </w:rPr>
            </w:pPr>
            <w:r>
              <w:rPr>
                <w:rFonts w:hint="eastAsia"/>
                <w:sz w:val="24"/>
                <w:szCs w:val="24"/>
              </w:rPr>
              <w:t>（</w:t>
            </w:r>
            <w:r>
              <w:rPr>
                <w:rFonts w:hint="eastAsia"/>
                <w:sz w:val="24"/>
                <w:szCs w:val="24"/>
                <w:lang w:val="en-US"/>
              </w:rPr>
              <w:t>1</w:t>
            </w:r>
            <w:r>
              <w:rPr>
                <w:rFonts w:hint="eastAsia"/>
                <w:sz w:val="24"/>
                <w:szCs w:val="24"/>
              </w:rPr>
              <w:t>）投标人获得过企业技术中心的得</w:t>
            </w:r>
            <w:r>
              <w:rPr>
                <w:rFonts w:hint="eastAsia"/>
                <w:sz w:val="24"/>
                <w:szCs w:val="24"/>
                <w:lang w:val="en-US"/>
              </w:rPr>
              <w:t>2</w:t>
            </w:r>
            <w:r>
              <w:rPr>
                <w:rFonts w:hint="eastAsia"/>
                <w:sz w:val="24"/>
                <w:szCs w:val="24"/>
              </w:rPr>
              <w:t>分</w:t>
            </w:r>
            <w:r>
              <w:rPr>
                <w:rFonts w:hint="eastAsia"/>
                <w:sz w:val="24"/>
              </w:rPr>
              <w:t>，未提供不得分</w:t>
            </w:r>
            <w:r>
              <w:rPr>
                <w:rFonts w:hint="eastAsia"/>
                <w:sz w:val="24"/>
                <w:szCs w:val="24"/>
              </w:rPr>
              <w:t>；</w:t>
            </w:r>
          </w:p>
          <w:p>
            <w:pPr>
              <w:wordWrap w:val="0"/>
              <w:topLinePunct/>
              <w:autoSpaceDE/>
              <w:autoSpaceDN/>
              <w:spacing w:line="360" w:lineRule="auto"/>
              <w:rPr>
                <w:sz w:val="24"/>
                <w:szCs w:val="24"/>
              </w:rPr>
            </w:pPr>
            <w:r>
              <w:rPr>
                <w:rFonts w:hint="eastAsia"/>
                <w:sz w:val="24"/>
                <w:szCs w:val="24"/>
              </w:rPr>
              <w:t>（</w:t>
            </w:r>
            <w:r>
              <w:rPr>
                <w:rFonts w:hint="eastAsia"/>
                <w:sz w:val="24"/>
                <w:szCs w:val="24"/>
                <w:lang w:val="en-US"/>
              </w:rPr>
              <w:t>2</w:t>
            </w:r>
            <w:r>
              <w:rPr>
                <w:rFonts w:hint="eastAsia"/>
                <w:sz w:val="24"/>
                <w:szCs w:val="24"/>
              </w:rPr>
              <w:t>）投标人获得过 “守合同重信用”奖项的得</w:t>
            </w:r>
            <w:r>
              <w:rPr>
                <w:rFonts w:hint="eastAsia"/>
                <w:sz w:val="24"/>
                <w:szCs w:val="24"/>
                <w:lang w:val="en-US"/>
              </w:rPr>
              <w:t>2</w:t>
            </w:r>
            <w:r>
              <w:rPr>
                <w:rFonts w:hint="eastAsia"/>
                <w:sz w:val="24"/>
                <w:szCs w:val="24"/>
              </w:rPr>
              <w:t>分</w:t>
            </w:r>
            <w:r>
              <w:rPr>
                <w:rFonts w:hint="eastAsia"/>
                <w:sz w:val="24"/>
              </w:rPr>
              <w:t>，未提供不得分</w:t>
            </w:r>
            <w:r>
              <w:rPr>
                <w:rFonts w:hint="eastAsia"/>
                <w:sz w:val="24"/>
                <w:szCs w:val="24"/>
              </w:rPr>
              <w:t>；</w:t>
            </w:r>
          </w:p>
          <w:p>
            <w:pPr>
              <w:wordWrap w:val="0"/>
              <w:topLinePunct/>
              <w:autoSpaceDE/>
              <w:autoSpaceDN/>
              <w:spacing w:line="360" w:lineRule="auto"/>
              <w:rPr>
                <w:sz w:val="24"/>
                <w:szCs w:val="24"/>
              </w:rPr>
            </w:pPr>
            <w:r>
              <w:rPr>
                <w:rFonts w:hint="eastAsia"/>
                <w:sz w:val="24"/>
                <w:szCs w:val="24"/>
              </w:rPr>
              <w:t>（</w:t>
            </w:r>
            <w:r>
              <w:rPr>
                <w:rFonts w:hint="eastAsia"/>
                <w:sz w:val="24"/>
                <w:szCs w:val="24"/>
                <w:lang w:val="en-US"/>
              </w:rPr>
              <w:t>3</w:t>
            </w:r>
            <w:r>
              <w:rPr>
                <w:rFonts w:hint="eastAsia"/>
                <w:sz w:val="24"/>
                <w:szCs w:val="24"/>
              </w:rPr>
              <w:t>）投标人具有获得过相关部门颁发的质量奖的得</w:t>
            </w:r>
            <w:r>
              <w:rPr>
                <w:rFonts w:hint="eastAsia"/>
                <w:sz w:val="24"/>
                <w:szCs w:val="24"/>
                <w:lang w:val="en-US"/>
              </w:rPr>
              <w:t>2</w:t>
            </w:r>
            <w:r>
              <w:rPr>
                <w:rFonts w:hint="eastAsia"/>
                <w:sz w:val="24"/>
                <w:szCs w:val="24"/>
              </w:rPr>
              <w:t>分</w:t>
            </w:r>
            <w:r>
              <w:rPr>
                <w:rFonts w:hint="eastAsia"/>
                <w:sz w:val="24"/>
              </w:rPr>
              <w:t>，未提供不得分</w:t>
            </w:r>
            <w:r>
              <w:rPr>
                <w:rFonts w:hint="eastAsia"/>
                <w:sz w:val="24"/>
                <w:szCs w:val="24"/>
              </w:rPr>
              <w:t>；</w:t>
            </w:r>
          </w:p>
          <w:p>
            <w:pPr>
              <w:pStyle w:val="2"/>
              <w:wordWrap w:val="0"/>
              <w:topLinePunct/>
              <w:autoSpaceDE/>
              <w:autoSpaceDN/>
              <w:spacing w:after="0" w:line="360" w:lineRule="auto"/>
              <w:ind w:left="0" w:leftChars="0"/>
            </w:pPr>
            <w:r>
              <w:rPr>
                <w:rFonts w:hint="eastAsia" w:ascii="宋体" w:hAnsi="宋体"/>
                <w:sz w:val="24"/>
              </w:rPr>
              <w:t>（</w:t>
            </w:r>
            <w:r>
              <w:rPr>
                <w:rFonts w:hint="eastAsia" w:ascii="宋体" w:hAnsi="宋体"/>
                <w:sz w:val="24"/>
                <w:lang w:val="en-US"/>
              </w:rPr>
              <w:t>4</w:t>
            </w:r>
            <w:r>
              <w:rPr>
                <w:rFonts w:hint="eastAsia" w:ascii="宋体" w:hAnsi="宋体"/>
                <w:sz w:val="24"/>
              </w:rPr>
              <w:t>）</w:t>
            </w:r>
            <w:r>
              <w:rPr>
                <w:rFonts w:hint="eastAsia" w:ascii="宋体" w:hAnsi="宋体"/>
                <w:kern w:val="0"/>
                <w:sz w:val="24"/>
              </w:rPr>
              <w:t>投标人具有城市空气质量连续自动监测系统科技公关类证书得3分，未提供不得分。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1" w:hRule="atLeast"/>
          <w:jc w:val="center"/>
        </w:trPr>
        <w:tc>
          <w:tcPr>
            <w:tcW w:w="628" w:type="dxa"/>
            <w:vMerge w:val="continue"/>
            <w:tcBorders>
              <w:left w:val="single" w:color="auto" w:sz="4" w:space="0"/>
              <w:right w:val="single" w:color="auto" w:sz="4" w:space="0"/>
            </w:tcBorders>
            <w:vAlign w:val="center"/>
          </w:tcPr>
          <w:p>
            <w:pPr>
              <w:wordWrap w:val="0"/>
              <w:topLinePunct/>
              <w:autoSpaceDE/>
              <w:autoSpaceDN/>
              <w:spacing w:line="360" w:lineRule="auto"/>
              <w:jc w:val="center"/>
              <w:rPr>
                <w:sz w:val="24"/>
              </w:rPr>
            </w:pPr>
          </w:p>
        </w:tc>
        <w:tc>
          <w:tcPr>
            <w:tcW w:w="1231" w:type="dxa"/>
            <w:vMerge w:val="continue"/>
            <w:tcBorders>
              <w:left w:val="single" w:color="auto" w:sz="4" w:space="0"/>
              <w:right w:val="single" w:color="auto" w:sz="4" w:space="0"/>
            </w:tcBorders>
            <w:vAlign w:val="center"/>
          </w:tcPr>
          <w:p>
            <w:pPr>
              <w:wordWrap w:val="0"/>
              <w:topLinePunct/>
              <w:autoSpaceDE/>
              <w:autoSpaceDN/>
              <w:spacing w:line="360" w:lineRule="auto"/>
              <w:jc w:val="center"/>
              <w:rPr>
                <w:sz w:val="24"/>
              </w:rPr>
            </w:pPr>
          </w:p>
        </w:tc>
        <w:tc>
          <w:tcPr>
            <w:tcW w:w="1087"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rPr>
              <w:t>认证（</w:t>
            </w:r>
            <w:r>
              <w:rPr>
                <w:rFonts w:hint="eastAsia"/>
                <w:sz w:val="24"/>
                <w:lang w:val="en-US"/>
              </w:rPr>
              <w:t>4</w:t>
            </w:r>
            <w:r>
              <w:rPr>
                <w:rFonts w:hint="eastAsia"/>
                <w:sz w:val="24"/>
              </w:rPr>
              <w:t>分）</w:t>
            </w:r>
          </w:p>
        </w:tc>
        <w:tc>
          <w:tcPr>
            <w:tcW w:w="6244" w:type="dxa"/>
            <w:tcBorders>
              <w:top w:val="single" w:color="auto" w:sz="4" w:space="0"/>
              <w:left w:val="single" w:color="auto" w:sz="4" w:space="0"/>
              <w:bottom w:val="single" w:color="auto" w:sz="4" w:space="0"/>
              <w:right w:val="single" w:color="auto" w:sz="4" w:space="0"/>
            </w:tcBorders>
            <w:vAlign w:val="center"/>
          </w:tcPr>
          <w:p>
            <w:pPr>
              <w:pStyle w:val="26"/>
              <w:wordWrap w:val="0"/>
              <w:topLinePunct/>
              <w:autoSpaceDE/>
              <w:autoSpaceDN/>
              <w:spacing w:line="360" w:lineRule="auto"/>
              <w:ind w:left="0" w:firstLine="0"/>
              <w:rPr>
                <w:sz w:val="24"/>
              </w:rPr>
            </w:pPr>
            <w:r>
              <w:rPr>
                <w:rFonts w:hint="eastAsia"/>
                <w:sz w:val="24"/>
              </w:rPr>
              <w:t>（</w:t>
            </w:r>
            <w:r>
              <w:rPr>
                <w:rFonts w:hint="eastAsia"/>
                <w:sz w:val="24"/>
                <w:lang w:val="en-US"/>
              </w:rPr>
              <w:t>1</w:t>
            </w:r>
            <w:r>
              <w:rPr>
                <w:rFonts w:hint="eastAsia"/>
                <w:sz w:val="24"/>
              </w:rPr>
              <w:t>）投标人具有信息技术服务管理体系证书证书，且认证内容有硬件维护、数据处理服务的得</w:t>
            </w:r>
            <w:r>
              <w:rPr>
                <w:rFonts w:hint="eastAsia"/>
                <w:sz w:val="24"/>
                <w:lang w:val="en-US"/>
              </w:rPr>
              <w:t>1</w:t>
            </w:r>
            <w:r>
              <w:rPr>
                <w:rFonts w:hint="eastAsia"/>
                <w:sz w:val="24"/>
              </w:rPr>
              <w:t>分，未提供不得分。</w:t>
            </w:r>
          </w:p>
          <w:p>
            <w:pPr>
              <w:pStyle w:val="26"/>
              <w:wordWrap w:val="0"/>
              <w:topLinePunct/>
              <w:autoSpaceDE/>
              <w:autoSpaceDN/>
              <w:spacing w:line="360" w:lineRule="auto"/>
              <w:ind w:left="0" w:firstLine="0"/>
              <w:rPr>
                <w:sz w:val="24"/>
              </w:rPr>
            </w:pPr>
            <w:r>
              <w:rPr>
                <w:rFonts w:hint="eastAsia"/>
                <w:sz w:val="24"/>
              </w:rPr>
              <w:t>（</w:t>
            </w:r>
            <w:r>
              <w:rPr>
                <w:rFonts w:hint="eastAsia"/>
                <w:sz w:val="24"/>
                <w:lang w:val="en-US"/>
              </w:rPr>
              <w:t>2</w:t>
            </w:r>
            <w:r>
              <w:rPr>
                <w:rFonts w:hint="eastAsia"/>
                <w:sz w:val="24"/>
              </w:rPr>
              <w:t>）投标人具有测量管理体系认证证书，且认证内容有环境监测方面的得</w:t>
            </w:r>
            <w:r>
              <w:rPr>
                <w:rFonts w:hint="eastAsia"/>
                <w:sz w:val="24"/>
                <w:lang w:val="en-US"/>
              </w:rPr>
              <w:t>1</w:t>
            </w:r>
            <w:r>
              <w:rPr>
                <w:rFonts w:hint="eastAsia"/>
                <w:sz w:val="24"/>
              </w:rPr>
              <w:t>分，未提供不得分。</w:t>
            </w:r>
          </w:p>
          <w:p>
            <w:pPr>
              <w:pStyle w:val="26"/>
              <w:wordWrap w:val="0"/>
              <w:topLinePunct/>
              <w:autoSpaceDE/>
              <w:autoSpaceDN/>
              <w:spacing w:line="360" w:lineRule="auto"/>
              <w:ind w:left="0" w:firstLine="0"/>
              <w:rPr>
                <w:sz w:val="24"/>
                <w:lang w:val="en-US"/>
              </w:rPr>
            </w:pPr>
            <w:r>
              <w:rPr>
                <w:rFonts w:hint="eastAsia"/>
                <w:sz w:val="24"/>
              </w:rPr>
              <w:t>（</w:t>
            </w:r>
            <w:r>
              <w:rPr>
                <w:rFonts w:hint="eastAsia"/>
                <w:sz w:val="24"/>
                <w:lang w:val="en-US"/>
              </w:rPr>
              <w:t>3</w:t>
            </w:r>
            <w:r>
              <w:rPr>
                <w:rFonts w:hint="eastAsia"/>
                <w:sz w:val="24"/>
              </w:rPr>
              <w:t>）投标人具有</w:t>
            </w:r>
            <w:r>
              <w:rPr>
                <w:rFonts w:hint="eastAsia"/>
                <w:sz w:val="24"/>
                <w:lang w:val="en-US"/>
              </w:rPr>
              <w:t>诚信</w:t>
            </w:r>
            <w:r>
              <w:rPr>
                <w:rFonts w:hint="eastAsia"/>
                <w:sz w:val="24"/>
              </w:rPr>
              <w:t>管理体系认证证书，且认证内容有</w:t>
            </w:r>
            <w:r>
              <w:rPr>
                <w:rFonts w:hint="eastAsia"/>
                <w:sz w:val="24"/>
                <w:lang w:val="en-US"/>
              </w:rPr>
              <w:t>数据服务</w:t>
            </w:r>
            <w:r>
              <w:rPr>
                <w:rFonts w:hint="eastAsia"/>
                <w:sz w:val="24"/>
              </w:rPr>
              <w:t>的得</w:t>
            </w:r>
            <w:r>
              <w:rPr>
                <w:rFonts w:hint="eastAsia"/>
                <w:sz w:val="24"/>
                <w:lang w:val="en-US"/>
              </w:rPr>
              <w:t>1</w:t>
            </w:r>
            <w:r>
              <w:rPr>
                <w:rFonts w:hint="eastAsia"/>
                <w:sz w:val="24"/>
              </w:rPr>
              <w:t>分，未提供不得分。</w:t>
            </w:r>
          </w:p>
          <w:p>
            <w:pPr>
              <w:pStyle w:val="26"/>
              <w:wordWrap w:val="0"/>
              <w:topLinePunct/>
              <w:autoSpaceDE/>
              <w:autoSpaceDN/>
              <w:spacing w:line="360" w:lineRule="auto"/>
              <w:ind w:left="0" w:firstLine="0"/>
              <w:rPr>
                <w:sz w:val="24"/>
              </w:rPr>
            </w:pPr>
            <w:r>
              <w:rPr>
                <w:rFonts w:hint="eastAsia"/>
                <w:sz w:val="24"/>
                <w:lang w:val="en-US"/>
              </w:rPr>
              <w:t>（4）投标人具有知识产权管理体系认证证书的得1分</w:t>
            </w:r>
            <w:r>
              <w:rPr>
                <w:rFonts w:hint="eastAsia"/>
                <w:sz w:val="24"/>
              </w:rPr>
              <w:t>，未提供不得分</w:t>
            </w:r>
            <w:r>
              <w:rPr>
                <w:rFonts w:hint="eastAsia"/>
                <w:sz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28" w:type="dxa"/>
            <w:vMerge w:val="continue"/>
            <w:tcBorders>
              <w:left w:val="single" w:color="auto" w:sz="4" w:space="0"/>
              <w:right w:val="single" w:color="auto" w:sz="4" w:space="0"/>
            </w:tcBorders>
            <w:vAlign w:val="center"/>
          </w:tcPr>
          <w:p>
            <w:pPr>
              <w:wordWrap w:val="0"/>
              <w:topLinePunct/>
              <w:autoSpaceDE/>
              <w:autoSpaceDN/>
              <w:spacing w:line="360" w:lineRule="auto"/>
              <w:jc w:val="center"/>
              <w:rPr>
                <w:sz w:val="24"/>
              </w:rPr>
            </w:pPr>
          </w:p>
        </w:tc>
        <w:tc>
          <w:tcPr>
            <w:tcW w:w="1231" w:type="dxa"/>
            <w:vMerge w:val="continue"/>
            <w:tcBorders>
              <w:left w:val="single" w:color="auto" w:sz="4" w:space="0"/>
              <w:right w:val="single" w:color="auto" w:sz="4" w:space="0"/>
            </w:tcBorders>
            <w:vAlign w:val="center"/>
          </w:tcPr>
          <w:p>
            <w:pPr>
              <w:wordWrap w:val="0"/>
              <w:topLinePunct/>
              <w:autoSpaceDE/>
              <w:autoSpaceDN/>
              <w:spacing w:line="360" w:lineRule="auto"/>
              <w:jc w:val="center"/>
              <w:rPr>
                <w:sz w:val="24"/>
              </w:rPr>
            </w:pPr>
          </w:p>
        </w:tc>
        <w:tc>
          <w:tcPr>
            <w:tcW w:w="1087"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spacing w:line="360" w:lineRule="auto"/>
              <w:jc w:val="center"/>
              <w:rPr>
                <w:sz w:val="24"/>
              </w:rPr>
            </w:pPr>
            <w:r>
              <w:rPr>
                <w:rFonts w:hint="eastAsia"/>
                <w:sz w:val="24"/>
              </w:rPr>
              <w:t>业绩（6分）</w:t>
            </w:r>
          </w:p>
        </w:tc>
        <w:tc>
          <w:tcPr>
            <w:tcW w:w="6244"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adjustRightInd w:val="0"/>
              <w:spacing w:line="360" w:lineRule="auto"/>
              <w:textAlignment w:val="baseline"/>
              <w:rPr>
                <w:sz w:val="24"/>
              </w:rPr>
            </w:pPr>
            <w:r>
              <w:rPr>
                <w:rFonts w:hint="eastAsia"/>
                <w:sz w:val="24"/>
              </w:rPr>
              <w:t>投标人自2018年1月1日以来承建过同类项目业绩（</w:t>
            </w:r>
            <w:r>
              <w:rPr>
                <w:rFonts w:hint="eastAsia"/>
                <w:sz w:val="24"/>
                <w:lang w:val="en-US"/>
              </w:rPr>
              <w:t>合同清单中</w:t>
            </w:r>
            <w:r>
              <w:rPr>
                <w:rFonts w:hint="eastAsia"/>
                <w:sz w:val="24"/>
              </w:rPr>
              <w:t>至少包含微型站和管理咨询服务），每提供一个得</w:t>
            </w:r>
            <w:r>
              <w:rPr>
                <w:rFonts w:hint="eastAsia"/>
                <w:sz w:val="24"/>
                <w:lang w:val="en-US"/>
              </w:rPr>
              <w:t>2</w:t>
            </w:r>
            <w:r>
              <w:rPr>
                <w:rFonts w:hint="eastAsia"/>
                <w:sz w:val="24"/>
              </w:rPr>
              <w:t>分，最高得</w:t>
            </w:r>
            <w:r>
              <w:rPr>
                <w:rFonts w:hint="eastAsia"/>
                <w:sz w:val="24"/>
                <w:lang w:val="en-US"/>
              </w:rPr>
              <w:t>6</w:t>
            </w:r>
            <w:r>
              <w:rPr>
                <w:rFonts w:hint="eastAsia"/>
                <w:sz w:val="24"/>
              </w:rPr>
              <w:t>分。提供中标通知书、合同复印件。</w:t>
            </w:r>
          </w:p>
        </w:tc>
      </w:tr>
    </w:tbl>
    <w:p>
      <w:pPr>
        <w:tabs>
          <w:tab w:val="left" w:pos="630"/>
        </w:tabs>
        <w:spacing w:line="360" w:lineRule="auto"/>
        <w:rPr>
          <w:rFonts w:hint="default" w:eastAsia="宋体"/>
          <w:b/>
          <w:sz w:val="24"/>
          <w:szCs w:val="24"/>
          <w:lang w:val="en-US" w:eastAsia="zh-CN"/>
        </w:rPr>
      </w:pPr>
      <w:r>
        <w:rPr>
          <w:rFonts w:hint="eastAsia"/>
          <w:b/>
          <w:sz w:val="24"/>
          <w:szCs w:val="24"/>
          <w:lang w:val="en-US" w:eastAsia="zh-CN"/>
        </w:rPr>
        <w:t>备注：</w:t>
      </w:r>
    </w:p>
    <w:p>
      <w:pPr>
        <w:tabs>
          <w:tab w:val="left" w:pos="630"/>
        </w:tabs>
        <w:spacing w:line="360" w:lineRule="auto"/>
        <w:ind w:firstLine="482" w:firstLineChars="200"/>
        <w:rPr>
          <w:b/>
          <w:sz w:val="24"/>
          <w:szCs w:val="24"/>
        </w:rPr>
      </w:pPr>
      <w:r>
        <w:rPr>
          <w:rFonts w:hint="eastAsia"/>
          <w:b/>
          <w:sz w:val="24"/>
          <w:szCs w:val="24"/>
        </w:rPr>
        <w:t>1、上述业绩合同、各类证书、证明材料等，响应文件中应与要求上传至诚信库中的原件扫描件一致，否则不得分。</w:t>
      </w:r>
    </w:p>
    <w:p>
      <w:pPr>
        <w:tabs>
          <w:tab w:val="left" w:pos="630"/>
        </w:tabs>
        <w:spacing w:line="360" w:lineRule="auto"/>
        <w:ind w:firstLine="482" w:firstLineChars="200"/>
        <w:rPr>
          <w:b/>
          <w:sz w:val="24"/>
          <w:szCs w:val="24"/>
        </w:rPr>
      </w:pPr>
      <w:r>
        <w:rPr>
          <w:rFonts w:hint="eastAsia"/>
          <w:b/>
          <w:sz w:val="24"/>
          <w:szCs w:val="24"/>
        </w:rPr>
        <w:t>2、本项目实行资格后审，审查内容所涉及的原件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供应商承担责任。(原件扫描件请上传至南阳市公共资源交易中心企业诚信库对应菜单位置，若无对应菜单，请上传至 “投标所需材料”菜单中，并生成子目录）</w:t>
      </w:r>
    </w:p>
    <w:p>
      <w:pPr>
        <w:tabs>
          <w:tab w:val="left" w:pos="630"/>
        </w:tabs>
        <w:spacing w:line="360" w:lineRule="auto"/>
        <w:ind w:firstLine="482" w:firstLineChars="200"/>
        <w:rPr>
          <w:rFonts w:hint="eastAsia"/>
          <w:b/>
          <w:sz w:val="24"/>
          <w:szCs w:val="24"/>
        </w:rPr>
      </w:pPr>
      <w:r>
        <w:rPr>
          <w:rFonts w:hint="eastAsia"/>
          <w:b/>
          <w:sz w:val="24"/>
          <w:szCs w:val="24"/>
        </w:rPr>
        <w:t>3、根据《政府采购促进中小企业发展暂行办法》（财库﹝2011﹞181 号）的规定，对小型和微型企业产品的价格给予 6%的扣除，用扣除后的价格参与评审。（参加政府采购活动中的中小企业应当提供《中小企业声明函》，格式参考《政府采购促进中小企业发展暂行办法》（财库﹝2011﹞181 号）附件。）</w:t>
      </w:r>
    </w:p>
    <w:p>
      <w:pPr>
        <w:pStyle w:val="2"/>
      </w:pPr>
    </w:p>
    <w:p>
      <w:pPr>
        <w:pStyle w:val="24"/>
        <w:numPr>
          <w:ilvl w:val="0"/>
          <w:numId w:val="3"/>
        </w:numPr>
        <w:jc w:val="center"/>
        <w:outlineLvl w:val="1"/>
        <w:rPr>
          <w:b w:val="0"/>
          <w:bCs w:val="0"/>
          <w:color w:val="auto"/>
        </w:rPr>
      </w:pPr>
      <w:bookmarkStart w:id="17" w:name="_Toc27901"/>
      <w:r>
        <w:rPr>
          <w:rFonts w:hint="eastAsia"/>
          <w:b w:val="0"/>
          <w:bCs w:val="0"/>
          <w:color w:val="auto"/>
        </w:rPr>
        <w:t>评标结果</w:t>
      </w:r>
      <w:bookmarkEnd w:id="17"/>
    </w:p>
    <w:p>
      <w:pPr>
        <w:pStyle w:val="24"/>
        <w:jc w:val="both"/>
        <w:rPr>
          <w:color w:val="auto"/>
        </w:rPr>
      </w:pPr>
    </w:p>
    <w:p>
      <w:pPr>
        <w:pStyle w:val="24"/>
        <w:spacing w:line="360" w:lineRule="auto"/>
        <w:ind w:firstLine="480" w:firstLineChars="200"/>
        <w:rPr>
          <w:color w:val="auto"/>
        </w:rPr>
      </w:pPr>
      <w:r>
        <w:rPr>
          <w:rFonts w:hint="eastAsia"/>
          <w:color w:val="auto"/>
        </w:rPr>
        <w:t>本次评标采用综合评分法，评比采用百分制进行评分，总分为100分。评标委员会严格招标文件的要求和条件进行评标和打分，按得分由高到低的顺序推荐前三名为中标候选人，并确定第一名为中标人。评审得分相同的，按照投标报价由低到高的顺序推荐。评审得分且投标报价均相同的，按照技术部分得分由高到低顺序推荐。若均相同由评标委员会投票推荐。</w:t>
      </w:r>
    </w:p>
    <w:p>
      <w:pPr>
        <w:pStyle w:val="24"/>
        <w:rPr>
          <w:color w:val="auto"/>
        </w:rPr>
        <w:sectPr>
          <w:pgSz w:w="11910" w:h="16840"/>
          <w:pgMar w:top="1361" w:right="1417" w:bottom="1361" w:left="1417" w:header="0" w:footer="913" w:gutter="0"/>
          <w:cols w:space="425" w:num="1"/>
        </w:sectPr>
      </w:pPr>
    </w:p>
    <w:p>
      <w:pPr>
        <w:pStyle w:val="4"/>
        <w:numPr>
          <w:ilvl w:val="0"/>
          <w:numId w:val="2"/>
        </w:numPr>
      </w:pPr>
      <w:bookmarkStart w:id="18" w:name="_Toc10717"/>
      <w:r>
        <w:t>合同条款</w:t>
      </w:r>
      <w:bookmarkEnd w:id="18"/>
    </w:p>
    <w:p/>
    <w:p>
      <w:pPr>
        <w:widowControl/>
        <w:spacing w:before="100" w:beforeAutospacing="1" w:line="360" w:lineRule="auto"/>
        <w:ind w:firstLine="522" w:firstLineChars="200"/>
        <w:rPr>
          <w:rFonts w:cs="Times New Roman"/>
          <w:b/>
          <w:sz w:val="26"/>
          <w:szCs w:val="26"/>
          <w:lang w:val="en-US" w:bidi="ar-SA"/>
        </w:rPr>
      </w:pPr>
      <w:r>
        <w:rPr>
          <w:rFonts w:cs="Times New Roman"/>
          <w:b/>
          <w:sz w:val="26"/>
          <w:szCs w:val="26"/>
          <w:lang w:val="en-US" w:bidi="ar-SA"/>
        </w:rPr>
        <w:t>（双方应根据招标文件、中标通知书、投标人的投标文件（包括澄清说明），以及与项目招标相关的资料签订采购合同。所签订的合同不得背离国家相关法律法规、招标件的实质性内容要求和投标文件的承诺，最终以双方实际签订的合同为准</w:t>
      </w:r>
      <w:r>
        <w:rPr>
          <w:rFonts w:hint="eastAsia" w:cs="Times New Roman"/>
          <w:b/>
          <w:sz w:val="26"/>
          <w:szCs w:val="26"/>
          <w:lang w:val="en-US" w:bidi="ar-SA"/>
        </w:rPr>
        <w:t>。）</w:t>
      </w:r>
    </w:p>
    <w:p>
      <w:pPr>
        <w:autoSpaceDE/>
        <w:autoSpaceDN/>
        <w:jc w:val="both"/>
        <w:rPr>
          <w:rFonts w:cs="Times New Roman"/>
          <w:b/>
          <w:kern w:val="2"/>
          <w:sz w:val="96"/>
          <w:szCs w:val="96"/>
          <w:lang w:val="en-US" w:bidi="ar-SA"/>
        </w:rPr>
      </w:pPr>
    </w:p>
    <w:p>
      <w:pPr>
        <w:autoSpaceDE/>
        <w:autoSpaceDN/>
        <w:jc w:val="both"/>
        <w:rPr>
          <w:rFonts w:cs="Times New Roman"/>
          <w:b/>
          <w:kern w:val="2"/>
          <w:sz w:val="96"/>
          <w:szCs w:val="96"/>
          <w:lang w:val="en-US" w:bidi="ar-SA"/>
        </w:rPr>
      </w:pPr>
    </w:p>
    <w:p>
      <w:pPr>
        <w:autoSpaceDE/>
        <w:autoSpaceDN/>
        <w:jc w:val="center"/>
        <w:rPr>
          <w:rFonts w:cs="Times New Roman"/>
          <w:b/>
          <w:kern w:val="2"/>
          <w:sz w:val="72"/>
          <w:szCs w:val="72"/>
          <w:lang w:val="en-US" w:bidi="ar-SA"/>
        </w:rPr>
      </w:pPr>
      <w:r>
        <w:rPr>
          <w:rFonts w:hint="eastAsia" w:cs="Times New Roman"/>
          <w:b/>
          <w:kern w:val="2"/>
          <w:sz w:val="72"/>
          <w:szCs w:val="72"/>
          <w:lang w:val="en-US" w:bidi="ar-SA"/>
        </w:rPr>
        <w:br w:type="page"/>
      </w:r>
      <w:r>
        <w:rPr>
          <w:rFonts w:hint="eastAsia" w:cs="Times New Roman"/>
          <w:b/>
          <w:kern w:val="2"/>
          <w:sz w:val="72"/>
          <w:szCs w:val="72"/>
          <w:lang w:val="en-US" w:bidi="ar-SA"/>
        </w:rPr>
        <w:t>服务类政府采购合同</w:t>
      </w:r>
    </w:p>
    <w:p>
      <w:pPr>
        <w:autoSpaceDE/>
        <w:autoSpaceDN/>
        <w:jc w:val="center"/>
        <w:rPr>
          <w:rFonts w:cs="Times New Roman"/>
          <w:b/>
          <w:kern w:val="2"/>
          <w:sz w:val="96"/>
          <w:szCs w:val="96"/>
          <w:lang w:val="en-US" w:bidi="ar-SA"/>
        </w:rPr>
      </w:pPr>
    </w:p>
    <w:p>
      <w:pPr>
        <w:autoSpaceDE/>
        <w:autoSpaceDN/>
        <w:jc w:val="center"/>
        <w:rPr>
          <w:rFonts w:asciiTheme="minorEastAsia" w:hAnsiTheme="minorEastAsia" w:eastAsiaTheme="minorEastAsia" w:cstheme="minorEastAsia"/>
          <w:b/>
          <w:kern w:val="2"/>
          <w:sz w:val="96"/>
          <w:szCs w:val="96"/>
          <w:lang w:val="en-US" w:bidi="ar-SA"/>
        </w:rPr>
      </w:pPr>
    </w:p>
    <w:p>
      <w:pPr>
        <w:autoSpaceDE/>
        <w:autoSpaceDN/>
        <w:ind w:firstLine="640" w:firstLineChars="200"/>
        <w:jc w:val="both"/>
        <w:rPr>
          <w:rFonts w:asciiTheme="minorEastAsia" w:hAnsiTheme="minorEastAsia" w:eastAsiaTheme="minorEastAsia" w:cstheme="minorEastAsia"/>
          <w:kern w:val="2"/>
          <w:sz w:val="32"/>
          <w:szCs w:val="32"/>
          <w:lang w:val="en-US" w:bidi="ar-SA"/>
        </w:rPr>
      </w:pPr>
      <w:r>
        <w:rPr>
          <w:rFonts w:hint="eastAsia" w:asciiTheme="minorEastAsia" w:hAnsiTheme="minorEastAsia" w:eastAsiaTheme="minorEastAsia" w:cstheme="minorEastAsia"/>
          <w:kern w:val="2"/>
          <w:sz w:val="32"/>
          <w:szCs w:val="32"/>
          <w:lang w:val="en-US" w:bidi="ar-SA"/>
        </w:rPr>
        <w:t>项目名称：</w:t>
      </w:r>
      <w:r>
        <w:rPr>
          <w:rFonts w:hint="eastAsia" w:asciiTheme="minorEastAsia" w:hAnsiTheme="minorEastAsia" w:eastAsiaTheme="minorEastAsia" w:cstheme="minorEastAsia"/>
          <w:kern w:val="2"/>
          <w:sz w:val="32"/>
          <w:szCs w:val="32"/>
          <w:u w:val="single"/>
          <w:lang w:val="en-US" w:bidi="ar-SA"/>
        </w:rPr>
        <w:t xml:space="preserve">                                   </w:t>
      </w:r>
    </w:p>
    <w:p>
      <w:pPr>
        <w:autoSpaceDE/>
        <w:autoSpaceDN/>
        <w:ind w:firstLine="640" w:firstLineChars="200"/>
        <w:jc w:val="both"/>
        <w:rPr>
          <w:rFonts w:asciiTheme="minorEastAsia" w:hAnsiTheme="minorEastAsia" w:eastAsiaTheme="minorEastAsia" w:cstheme="minorEastAsia"/>
          <w:kern w:val="2"/>
          <w:sz w:val="32"/>
          <w:szCs w:val="32"/>
          <w:u w:val="single"/>
          <w:lang w:val="en-US" w:bidi="ar-SA"/>
        </w:rPr>
      </w:pPr>
      <w:r>
        <w:rPr>
          <w:rFonts w:hint="eastAsia" w:asciiTheme="minorEastAsia" w:hAnsiTheme="minorEastAsia" w:eastAsiaTheme="minorEastAsia" w:cstheme="minorEastAsia"/>
          <w:kern w:val="2"/>
          <w:sz w:val="32"/>
          <w:szCs w:val="32"/>
          <w:lang w:val="en-US" w:bidi="ar-SA"/>
        </w:rPr>
        <w:t>政府采购管理部门备案编号：</w:t>
      </w:r>
      <w:r>
        <w:rPr>
          <w:rFonts w:hint="eastAsia" w:asciiTheme="minorEastAsia" w:hAnsiTheme="minorEastAsia" w:eastAsiaTheme="minorEastAsia" w:cstheme="minorEastAsia"/>
          <w:kern w:val="2"/>
          <w:sz w:val="32"/>
          <w:szCs w:val="32"/>
          <w:u w:val="single"/>
          <w:lang w:val="en-US" w:bidi="ar-SA"/>
        </w:rPr>
        <w:t xml:space="preserve">                   </w:t>
      </w:r>
    </w:p>
    <w:p>
      <w:pPr>
        <w:autoSpaceDE/>
        <w:autoSpaceDN/>
        <w:ind w:firstLine="640" w:firstLineChars="200"/>
        <w:jc w:val="both"/>
        <w:rPr>
          <w:rFonts w:asciiTheme="minorEastAsia" w:hAnsiTheme="minorEastAsia" w:eastAsiaTheme="minorEastAsia" w:cstheme="minorEastAsia"/>
          <w:kern w:val="2"/>
          <w:sz w:val="32"/>
          <w:szCs w:val="32"/>
          <w:lang w:val="en-US" w:bidi="ar-SA"/>
        </w:rPr>
      </w:pPr>
      <w:r>
        <w:rPr>
          <w:rFonts w:hint="eastAsia" w:asciiTheme="minorEastAsia" w:hAnsiTheme="minorEastAsia" w:eastAsiaTheme="minorEastAsia" w:cstheme="minorEastAsia"/>
          <w:kern w:val="2"/>
          <w:sz w:val="32"/>
          <w:szCs w:val="32"/>
          <w:lang w:val="en-US" w:bidi="ar-SA"/>
        </w:rPr>
        <w:t>招标采购文件编号：</w:t>
      </w:r>
      <w:r>
        <w:rPr>
          <w:rFonts w:hint="eastAsia" w:asciiTheme="minorEastAsia" w:hAnsiTheme="minorEastAsia" w:eastAsiaTheme="minorEastAsia" w:cstheme="minorEastAsia"/>
          <w:kern w:val="2"/>
          <w:sz w:val="32"/>
          <w:szCs w:val="32"/>
          <w:u w:val="single"/>
          <w:lang w:val="en-US" w:bidi="ar-SA"/>
        </w:rPr>
        <w:t xml:space="preserve">                           </w:t>
      </w:r>
    </w:p>
    <w:p>
      <w:pPr>
        <w:autoSpaceDE/>
        <w:autoSpaceDN/>
        <w:ind w:firstLine="640" w:firstLineChars="200"/>
        <w:jc w:val="both"/>
        <w:rPr>
          <w:rFonts w:asciiTheme="minorEastAsia" w:hAnsiTheme="minorEastAsia" w:eastAsiaTheme="minorEastAsia" w:cstheme="minorEastAsia"/>
          <w:kern w:val="2"/>
          <w:sz w:val="32"/>
          <w:szCs w:val="32"/>
          <w:lang w:val="en-US" w:bidi="ar-SA"/>
        </w:rPr>
      </w:pPr>
      <w:r>
        <w:rPr>
          <w:rFonts w:hint="eastAsia" w:asciiTheme="minorEastAsia" w:hAnsiTheme="minorEastAsia" w:eastAsiaTheme="minorEastAsia" w:cstheme="minorEastAsia"/>
          <w:kern w:val="2"/>
          <w:sz w:val="32"/>
          <w:szCs w:val="32"/>
          <w:lang w:val="en-US" w:bidi="ar-SA"/>
        </w:rPr>
        <w:t>甲方合同编号：</w:t>
      </w:r>
      <w:r>
        <w:rPr>
          <w:rFonts w:hint="eastAsia" w:asciiTheme="minorEastAsia" w:hAnsiTheme="minorEastAsia" w:eastAsiaTheme="minorEastAsia" w:cstheme="minorEastAsia"/>
          <w:kern w:val="2"/>
          <w:sz w:val="32"/>
          <w:szCs w:val="32"/>
          <w:u w:val="single"/>
          <w:lang w:val="en-US" w:bidi="ar-SA"/>
        </w:rPr>
        <w:t xml:space="preserve">                               </w:t>
      </w:r>
    </w:p>
    <w:p>
      <w:pPr>
        <w:autoSpaceDE/>
        <w:autoSpaceDN/>
        <w:ind w:firstLine="640" w:firstLineChars="200"/>
        <w:jc w:val="both"/>
        <w:rPr>
          <w:rFonts w:asciiTheme="minorEastAsia" w:hAnsiTheme="minorEastAsia" w:eastAsiaTheme="minorEastAsia" w:cstheme="minorEastAsia"/>
          <w:kern w:val="2"/>
          <w:sz w:val="32"/>
          <w:szCs w:val="32"/>
          <w:u w:val="single"/>
          <w:lang w:val="en-US" w:bidi="ar-SA"/>
        </w:rPr>
      </w:pPr>
      <w:r>
        <w:rPr>
          <w:rFonts w:hint="eastAsia" w:asciiTheme="minorEastAsia" w:hAnsiTheme="minorEastAsia" w:eastAsiaTheme="minorEastAsia" w:cstheme="minorEastAsia"/>
          <w:kern w:val="2"/>
          <w:sz w:val="32"/>
          <w:szCs w:val="32"/>
          <w:lang w:val="en-US" w:bidi="ar-SA"/>
        </w:rPr>
        <w:t>甲方：</w:t>
      </w:r>
      <w:r>
        <w:rPr>
          <w:rFonts w:hint="eastAsia" w:asciiTheme="minorEastAsia" w:hAnsiTheme="minorEastAsia" w:eastAsiaTheme="minorEastAsia" w:cstheme="minorEastAsia"/>
          <w:kern w:val="2"/>
          <w:sz w:val="32"/>
          <w:szCs w:val="32"/>
          <w:u w:val="single"/>
          <w:lang w:val="en-US" w:bidi="ar-SA"/>
        </w:rPr>
        <w:t xml:space="preserve">                                       </w:t>
      </w:r>
    </w:p>
    <w:p>
      <w:pPr>
        <w:autoSpaceDE/>
        <w:autoSpaceDN/>
        <w:ind w:firstLine="640" w:firstLineChars="200"/>
        <w:jc w:val="both"/>
        <w:rPr>
          <w:rFonts w:asciiTheme="minorEastAsia" w:hAnsiTheme="minorEastAsia" w:eastAsiaTheme="minorEastAsia" w:cstheme="minorEastAsia"/>
          <w:kern w:val="2"/>
          <w:sz w:val="32"/>
          <w:szCs w:val="32"/>
          <w:lang w:val="en-US" w:bidi="ar-SA"/>
        </w:rPr>
      </w:pPr>
      <w:r>
        <w:rPr>
          <w:rFonts w:hint="eastAsia" w:asciiTheme="minorEastAsia" w:hAnsiTheme="minorEastAsia" w:eastAsiaTheme="minorEastAsia" w:cstheme="minorEastAsia"/>
          <w:kern w:val="2"/>
          <w:sz w:val="32"/>
          <w:szCs w:val="32"/>
          <w:lang w:val="en-US" w:bidi="ar-SA"/>
        </w:rPr>
        <w:t>乙方：</w:t>
      </w:r>
      <w:r>
        <w:rPr>
          <w:rFonts w:hint="eastAsia" w:asciiTheme="minorEastAsia" w:hAnsiTheme="minorEastAsia" w:eastAsiaTheme="minorEastAsia" w:cstheme="minorEastAsia"/>
          <w:kern w:val="2"/>
          <w:sz w:val="32"/>
          <w:szCs w:val="32"/>
          <w:u w:val="single"/>
          <w:lang w:val="en-US" w:bidi="ar-SA"/>
        </w:rPr>
        <w:t xml:space="preserve">                                       </w:t>
      </w:r>
    </w:p>
    <w:p>
      <w:pPr>
        <w:autoSpaceDE/>
        <w:autoSpaceDN/>
        <w:ind w:firstLine="640" w:firstLineChars="200"/>
        <w:jc w:val="both"/>
        <w:rPr>
          <w:rFonts w:asciiTheme="minorEastAsia" w:hAnsiTheme="minorEastAsia" w:eastAsiaTheme="minorEastAsia" w:cstheme="minorEastAsia"/>
          <w:kern w:val="2"/>
          <w:sz w:val="32"/>
          <w:szCs w:val="32"/>
          <w:u w:val="single"/>
          <w:lang w:val="en-US" w:bidi="ar-SA"/>
        </w:rPr>
      </w:pPr>
      <w:r>
        <w:rPr>
          <w:rFonts w:hint="eastAsia" w:asciiTheme="minorEastAsia" w:hAnsiTheme="minorEastAsia" w:eastAsiaTheme="minorEastAsia" w:cstheme="minorEastAsia"/>
          <w:kern w:val="2"/>
          <w:sz w:val="32"/>
          <w:szCs w:val="32"/>
          <w:lang w:val="en-US" w:bidi="ar-SA"/>
        </w:rPr>
        <w:t>甲方合同法律审核部门：</w:t>
      </w:r>
      <w:r>
        <w:rPr>
          <w:rFonts w:hint="eastAsia" w:asciiTheme="minorEastAsia" w:hAnsiTheme="minorEastAsia" w:eastAsiaTheme="minorEastAsia" w:cstheme="minorEastAsia"/>
          <w:kern w:val="2"/>
          <w:sz w:val="32"/>
          <w:szCs w:val="32"/>
          <w:u w:val="single"/>
          <w:lang w:val="en-US" w:bidi="ar-SA"/>
        </w:rPr>
        <w:t xml:space="preserve">                       </w:t>
      </w:r>
    </w:p>
    <w:p>
      <w:pPr>
        <w:autoSpaceDE/>
        <w:autoSpaceDN/>
        <w:jc w:val="both"/>
        <w:rPr>
          <w:rFonts w:asciiTheme="minorEastAsia" w:hAnsiTheme="minorEastAsia" w:eastAsiaTheme="minorEastAsia" w:cstheme="minorEastAsia"/>
          <w:kern w:val="2"/>
          <w:sz w:val="32"/>
          <w:szCs w:val="32"/>
          <w:lang w:val="en-US" w:bidi="ar-SA"/>
        </w:rPr>
      </w:pPr>
    </w:p>
    <w:p>
      <w:pPr>
        <w:autoSpaceDE/>
        <w:autoSpaceDN/>
        <w:jc w:val="both"/>
        <w:rPr>
          <w:rFonts w:asciiTheme="minorEastAsia" w:hAnsiTheme="minorEastAsia" w:eastAsiaTheme="minorEastAsia" w:cstheme="minorEastAsia"/>
          <w:kern w:val="2"/>
          <w:sz w:val="32"/>
          <w:szCs w:val="32"/>
          <w:lang w:val="en-US" w:bidi="ar-SA"/>
        </w:rPr>
      </w:pPr>
    </w:p>
    <w:p>
      <w:pPr>
        <w:autoSpaceDE/>
        <w:autoSpaceDN/>
        <w:jc w:val="both"/>
        <w:rPr>
          <w:rFonts w:asciiTheme="minorEastAsia" w:hAnsiTheme="minorEastAsia" w:eastAsiaTheme="minorEastAsia" w:cstheme="minorEastAsia"/>
          <w:kern w:val="2"/>
          <w:sz w:val="32"/>
          <w:szCs w:val="32"/>
          <w:lang w:val="en-US" w:bidi="ar-SA"/>
        </w:rPr>
      </w:pPr>
    </w:p>
    <w:p>
      <w:pPr>
        <w:autoSpaceDE/>
        <w:autoSpaceDN/>
        <w:jc w:val="center"/>
        <w:rPr>
          <w:rFonts w:asciiTheme="minorEastAsia" w:hAnsiTheme="minorEastAsia" w:eastAsiaTheme="minorEastAsia" w:cstheme="minorEastAsia"/>
          <w:kern w:val="2"/>
          <w:sz w:val="32"/>
          <w:szCs w:val="32"/>
          <w:lang w:val="en-US" w:bidi="ar-SA"/>
        </w:rPr>
      </w:pPr>
      <w:r>
        <w:rPr>
          <w:rFonts w:hint="eastAsia" w:asciiTheme="minorEastAsia" w:hAnsiTheme="minorEastAsia" w:eastAsiaTheme="minorEastAsia" w:cstheme="minorEastAsia"/>
          <w:kern w:val="2"/>
          <w:sz w:val="32"/>
          <w:szCs w:val="32"/>
          <w:lang w:val="en-US" w:bidi="ar-SA"/>
        </w:rPr>
        <w:t>签订时间：      年    月    日</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br w:type="page"/>
      </w:r>
      <w:r>
        <w:rPr>
          <w:rFonts w:hint="eastAsia" w:asciiTheme="minorEastAsia" w:hAnsiTheme="minorEastAsia" w:eastAsiaTheme="minorEastAsia" w:cstheme="minorEastAsia"/>
          <w:kern w:val="2"/>
          <w:sz w:val="24"/>
          <w:szCs w:val="20"/>
          <w:lang w:val="en-US" w:bidi="ar-SA"/>
        </w:rPr>
        <w:t>（甲方）（××项目）委托（代理机构名称）进行了政府采购。按照评委会评审推荐、甲方确定乙方为中标单位。现甲乙双方协商同意签订本合同。</w:t>
      </w:r>
    </w:p>
    <w:p>
      <w:pPr>
        <w:numPr>
          <w:ilvl w:val="0"/>
          <w:numId w:val="4"/>
        </w:numPr>
        <w:tabs>
          <w:tab w:val="left" w:pos="0"/>
          <w:tab w:val="clear" w:pos="720"/>
        </w:tabs>
        <w:autoSpaceDE/>
        <w:autoSpaceDN/>
        <w:spacing w:line="360" w:lineRule="auto"/>
        <w:ind w:left="0" w:firstLine="482" w:firstLineChars="200"/>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 xml:space="preserve"> 合同文件</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下列与本次采购活动有关的文件及附件是本合同不可分割的组成部分，与本合同具有同等法律效力，这些文件包括但不限于：</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1.（××号）招标采购文件</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2.投标文件</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3.乙方在投标时的书面承诺</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4.（××号）中标通知书</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5.合同补充条款或说明</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6.保密协议或条款</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7.相关附件、图纸及电子版资料</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第二条  合同内容</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 xml:space="preserve">服务名称：详见合同附件中《服务一览表》  </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第三条  合同总金额</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本合同服务总金额：￥</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元。</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大写：</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元。</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分项价款在《服务一览表》中有明确规定。</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本合同总价款包括服务期间必须的日常物料、易耗品、工具、调试费、培训费等相关费用。</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本合同执行期内因工作量变化而引起的服务费用的变动，在双方事先协商一致的前提下签订补充合同，但因此而增加的服务费用不得超过原中标金额的10%。</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第四条  权利义务和质量保证</w:t>
      </w:r>
    </w:p>
    <w:p>
      <w:pPr>
        <w:tabs>
          <w:tab w:val="left" w:pos="0"/>
        </w:tabs>
        <w:spacing w:line="360" w:lineRule="auto"/>
        <w:ind w:firstLine="420" w:firstLineChars="200"/>
        <w:jc w:val="both"/>
        <w:rPr>
          <w:rFonts w:asciiTheme="minorEastAsia" w:hAnsiTheme="minorEastAsia" w:eastAsiaTheme="minorEastAsia" w:cstheme="minorEastAsia"/>
          <w:kern w:val="2"/>
          <w:sz w:val="21"/>
          <w:lang w:val="en-US" w:bidi="ar-SA"/>
        </w:rPr>
      </w:pPr>
      <w:r>
        <w:rPr>
          <w:rFonts w:hint="eastAsia" w:asciiTheme="minorEastAsia" w:hAnsiTheme="minorEastAsia" w:eastAsiaTheme="minorEastAsia" w:cstheme="minorEastAsia"/>
          <w:kern w:val="2"/>
          <w:sz w:val="21"/>
          <w:lang w:val="en-US" w:bidi="ar-SA"/>
        </w:rPr>
        <w:t>1.甲方保证服务期间，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pPr>
        <w:spacing w:line="360" w:lineRule="auto"/>
        <w:ind w:firstLine="420" w:firstLineChars="200"/>
        <w:jc w:val="both"/>
        <w:rPr>
          <w:rFonts w:asciiTheme="minorEastAsia" w:hAnsiTheme="minorEastAsia" w:eastAsiaTheme="minorEastAsia" w:cstheme="minorEastAsia"/>
          <w:kern w:val="2"/>
          <w:sz w:val="21"/>
          <w:lang w:val="en-US" w:bidi="ar-SA"/>
        </w:rPr>
      </w:pPr>
      <w:r>
        <w:rPr>
          <w:rFonts w:hint="eastAsia" w:asciiTheme="minorEastAsia" w:hAnsiTheme="minorEastAsia" w:eastAsiaTheme="minorEastAsia" w:cstheme="minorEastAsia"/>
          <w:kern w:val="2"/>
          <w:sz w:val="21"/>
          <w:lang w:val="en-US" w:bidi="ar-SA"/>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第五条  付款方式</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1.本合同项下所有款项均以人民币支付。</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2.乙方向甲方提交下列文件材料，经甲方审核无误后支付采购资金：</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（1）经甲方确认的发票；</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（2）经甲乙双方确认签署的《验收报告》（或按项目进度阶段性《验收报告》）；</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（3）其他材料。</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3.款项的支付进度以招标采购文件的有关规定为准。如招标采购文件未作特别规定，则付款进度应符合如下约定：</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第一次验收合格后支付至合同总价的</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％，第二次验收合格后支付至合同的</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％，第</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次验收合格后支付至合同总价的</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％，余款</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％作为质量保证金于服务运行期满</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月后，并经甲乙双方复验合格后的</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个工作日内付清。</w:t>
      </w:r>
    </w:p>
    <w:p>
      <w:pPr>
        <w:numPr>
          <w:ilvl w:val="0"/>
          <w:numId w:val="5"/>
        </w:num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根据财政部、工信部关于印发《政府采购促进中小企业发展暂行办法》的通知（财库〔2011〕181号），××银行（或××非银行金融机构）同意向乙方提供关于本项目的贷款（附《借款合同》），经甲方审核无误后，甲方同意按照本合同的约定和乙方履约进度将采购资金支付至××银行（或××非银行金融机构）与乙方共同确认的收款账户：</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户名：</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开户行：</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账号：</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第六条  履约保证金</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1.乙方在签订本合同之日，向甲方提交合同履约保证金</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元（履约保证金的数额不得超过政府采购合同金额的10%）。</w:t>
      </w:r>
    </w:p>
    <w:p>
      <w:pPr>
        <w:autoSpaceDE/>
        <w:autoSpaceDN/>
        <w:spacing w:line="360" w:lineRule="auto"/>
        <w:ind w:firstLine="480" w:firstLineChars="200"/>
        <w:jc w:val="both"/>
        <w:rPr>
          <w:rFonts w:asciiTheme="minorEastAsia" w:hAnsiTheme="minorEastAsia" w:eastAsiaTheme="minorEastAsia" w:cstheme="minorEastAsia"/>
          <w:strike/>
          <w:kern w:val="2"/>
          <w:sz w:val="24"/>
          <w:szCs w:val="20"/>
          <w:lang w:val="en-US" w:bidi="ar-SA"/>
        </w:rPr>
      </w:pPr>
      <w:r>
        <w:rPr>
          <w:rFonts w:hint="eastAsia" w:asciiTheme="minorEastAsia" w:hAnsiTheme="minorEastAsia" w:eastAsiaTheme="minorEastAsia" w:cstheme="minorEastAsia"/>
          <w:kern w:val="2"/>
          <w:sz w:val="24"/>
          <w:szCs w:val="20"/>
          <w:lang w:val="en-US" w:bidi="ar-SA"/>
        </w:rPr>
        <w:t>2.履约保证金有效期为甲乙双方最终验收后1个月内。到期后，甲方向乙方无息退还。</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 xml:space="preserve">3.如乙方未能履行、或未能完全履行合同规定的义务，甲方有权从履约保证金中取得补偿。履约保证金扣除甲方应得的补偿后的余额在合同期满后 </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天内无息退还乙方。</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第七条  验收</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 xml:space="preserve">1.服务期限： </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 xml:space="preserve"> 至 </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w:t>
      </w:r>
    </w:p>
    <w:p>
      <w:pPr>
        <w:autoSpaceDE/>
        <w:autoSpaceDN/>
        <w:spacing w:line="360" w:lineRule="auto"/>
        <w:ind w:firstLine="720" w:firstLineChars="3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 xml:space="preserve">服务地点： </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w:t>
      </w:r>
    </w:p>
    <w:p>
      <w:pPr>
        <w:autoSpaceDE/>
        <w:autoSpaceDN/>
        <w:spacing w:line="360" w:lineRule="auto"/>
        <w:ind w:firstLine="720" w:firstLineChars="300"/>
        <w:jc w:val="both"/>
        <w:rPr>
          <w:rFonts w:asciiTheme="minorEastAsia" w:hAnsiTheme="minorEastAsia" w:eastAsiaTheme="minorEastAsia" w:cstheme="minorEastAsia"/>
          <w:kern w:val="2"/>
          <w:sz w:val="24"/>
          <w:szCs w:val="20"/>
          <w:u w:val="single"/>
          <w:lang w:val="en-US" w:bidi="ar-SA"/>
        </w:rPr>
      </w:pPr>
      <w:r>
        <w:rPr>
          <w:rFonts w:hint="eastAsia" w:asciiTheme="minorEastAsia" w:hAnsiTheme="minorEastAsia" w:eastAsiaTheme="minorEastAsia" w:cstheme="minorEastAsia"/>
          <w:kern w:val="2"/>
          <w:sz w:val="24"/>
          <w:szCs w:val="20"/>
          <w:lang w:val="en-US" w:bidi="ar-SA"/>
        </w:rPr>
        <w:t xml:space="preserve">验收时间： </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w:t>
      </w:r>
    </w:p>
    <w:p>
      <w:pPr>
        <w:autoSpaceDE/>
        <w:autoSpaceDN/>
        <w:spacing w:line="360" w:lineRule="auto"/>
        <w:ind w:firstLine="720" w:firstLineChars="3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 xml:space="preserve">验收地点： </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w:t>
      </w:r>
    </w:p>
    <w:p>
      <w:pPr>
        <w:tabs>
          <w:tab w:val="left" w:pos="0"/>
        </w:tabs>
        <w:spacing w:line="360" w:lineRule="auto"/>
        <w:ind w:firstLine="420" w:firstLineChars="200"/>
        <w:jc w:val="both"/>
        <w:rPr>
          <w:rFonts w:asciiTheme="minorEastAsia" w:hAnsiTheme="minorEastAsia" w:eastAsiaTheme="minorEastAsia" w:cstheme="minorEastAsia"/>
          <w:kern w:val="2"/>
          <w:sz w:val="21"/>
          <w:szCs w:val="24"/>
          <w:lang w:val="en-US" w:bidi="ar-SA"/>
        </w:rPr>
      </w:pPr>
      <w:r>
        <w:rPr>
          <w:rFonts w:hint="eastAsia" w:asciiTheme="minorEastAsia" w:hAnsiTheme="minorEastAsia" w:eastAsiaTheme="minorEastAsia" w:cstheme="minorEastAsia"/>
          <w:kern w:val="2"/>
          <w:sz w:val="21"/>
          <w:szCs w:val="24"/>
          <w:lang w:val="en-US" w:bidi="ar-SA"/>
        </w:rPr>
        <w:t>2. 乙方应对提供的服务成果作出全面自查和整理，并列出清单，作为甲方验收和使用的服务条件依据，清单应随提供的服务成果交给甲方。</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pPr>
        <w:autoSpaceDE/>
        <w:autoSpaceDN/>
        <w:snapToGrid w:val="0"/>
        <w:spacing w:line="360" w:lineRule="auto"/>
        <w:ind w:firstLine="482"/>
        <w:jc w:val="both"/>
        <w:textAlignment w:val="baseline"/>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4.甲方可以视项目规模或复杂情况聘请专业人员参与验收，大型或复杂项目，以及涉及专业服务内容的应当邀请国家认可的第三方质量检测机构参与验收，也可以视项目情况邀请参加本项目投标的落标人参与验收。</w:t>
      </w:r>
    </w:p>
    <w:p>
      <w:pPr>
        <w:autoSpaceDE/>
        <w:autoSpaceDN/>
        <w:snapToGrid w:val="0"/>
        <w:spacing w:line="360" w:lineRule="auto"/>
        <w:ind w:firstLine="482"/>
        <w:jc w:val="both"/>
        <w:textAlignment w:val="baseline"/>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5.如根据项目实施情况需要分阶段验收，则双方分阶段签署《验收报告》。</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6.如果合同双方对《验收报告》有分歧，双方须于出现分歧后</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天内给对方书面声明，以陈述己方的理由及要求，并附有关证据。分歧应通过协商解决。</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第八条  项目管理服务</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乙方应组建技术熟练、称职的团队全面履行合同,并指定不少于一人全权全程负责本项目服务的落实，包括服务的咨询、执行和后续工作。</w:t>
      </w:r>
    </w:p>
    <w:p>
      <w:pPr>
        <w:autoSpaceDE/>
        <w:autoSpaceDN/>
        <w:snapToGrid w:val="0"/>
        <w:spacing w:line="360" w:lineRule="auto"/>
        <w:ind w:firstLine="481"/>
        <w:jc w:val="both"/>
        <w:textAlignment w:val="baseline"/>
        <w:rPr>
          <w:rFonts w:asciiTheme="minorEastAsia" w:hAnsiTheme="minorEastAsia" w:eastAsiaTheme="minorEastAsia" w:cstheme="minorEastAsia"/>
          <w:kern w:val="2"/>
          <w:sz w:val="21"/>
          <w:szCs w:val="20"/>
          <w:lang w:val="en-US" w:bidi="ar-SA"/>
        </w:rPr>
      </w:pPr>
      <w:r>
        <w:rPr>
          <w:rFonts w:hint="eastAsia" w:asciiTheme="minorEastAsia" w:hAnsiTheme="minorEastAsia" w:eastAsiaTheme="minorEastAsia" w:cstheme="minorEastAsia"/>
          <w:kern w:val="2"/>
          <w:sz w:val="24"/>
          <w:szCs w:val="20"/>
          <w:lang w:val="en-US" w:bidi="ar-SA"/>
        </w:rPr>
        <w:t xml:space="preserve">项目负责人姓名： </w:t>
      </w:r>
      <w:r>
        <w:rPr>
          <w:rFonts w:hint="eastAsia" w:asciiTheme="minorEastAsia" w:hAnsiTheme="minorEastAsia" w:eastAsiaTheme="minorEastAsia" w:cstheme="minorEastAsia"/>
          <w:kern w:val="2"/>
          <w:sz w:val="24"/>
          <w:szCs w:val="20"/>
          <w:u w:val="single" w:color="000000"/>
          <w:lang w:val="en-US" w:bidi="ar-SA"/>
        </w:rPr>
        <w:t xml:space="preserve">              </w:t>
      </w:r>
      <w:r>
        <w:rPr>
          <w:rFonts w:hint="eastAsia" w:asciiTheme="minorEastAsia" w:hAnsiTheme="minorEastAsia" w:eastAsiaTheme="minorEastAsia" w:cstheme="minorEastAsia"/>
          <w:kern w:val="2"/>
          <w:sz w:val="24"/>
          <w:szCs w:val="20"/>
          <w:lang w:val="en-US" w:bidi="ar-SA"/>
        </w:rPr>
        <w:t>； 联系电话：</w:t>
      </w:r>
      <w:r>
        <w:rPr>
          <w:rFonts w:hint="eastAsia" w:asciiTheme="minorEastAsia" w:hAnsiTheme="minorEastAsia" w:eastAsiaTheme="minorEastAsia" w:cstheme="minorEastAsia"/>
          <w:kern w:val="2"/>
          <w:sz w:val="24"/>
          <w:szCs w:val="20"/>
          <w:u w:val="single" w:color="000000"/>
          <w:lang w:val="en-US" w:bidi="ar-SA"/>
        </w:rPr>
        <w:t xml:space="preserve">                      </w:t>
      </w:r>
      <w:r>
        <w:rPr>
          <w:rFonts w:hint="eastAsia" w:asciiTheme="minorEastAsia" w:hAnsiTheme="minorEastAsia" w:eastAsiaTheme="minorEastAsia" w:cstheme="minorEastAsia"/>
          <w:kern w:val="2"/>
          <w:sz w:val="24"/>
          <w:szCs w:val="20"/>
          <w:lang w:val="en-US" w:bidi="ar-SA"/>
        </w:rPr>
        <w:t>。</w:t>
      </w:r>
    </w:p>
    <w:p>
      <w:pPr>
        <w:autoSpaceDE/>
        <w:autoSpaceDN/>
        <w:spacing w:line="360" w:lineRule="auto"/>
        <w:ind w:firstLine="472" w:firstLineChars="196"/>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第九条  售后服务</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1.乙方提供服务的质量保证期为自服务通过最终验收之日起</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个月。若国家有明确规定的质量保证期高于此质量保证期的，执行国家规定。</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2.服务期内，乙方应提供相关服务支持。对甲方所反映的任何服务问题在</w:t>
      </w:r>
      <w:r>
        <w:rPr>
          <w:rFonts w:hint="eastAsia" w:asciiTheme="minorEastAsia" w:hAnsiTheme="minorEastAsia" w:eastAsiaTheme="minorEastAsia" w:cstheme="minorEastAsia"/>
          <w:kern w:val="2"/>
          <w:sz w:val="24"/>
          <w:szCs w:val="20"/>
          <w:u w:val="single"/>
          <w:lang w:val="en-US" w:bidi="ar-SA"/>
        </w:rPr>
        <w:t>××</w:t>
      </w:r>
      <w:r>
        <w:rPr>
          <w:rFonts w:hint="eastAsia" w:asciiTheme="minorEastAsia" w:hAnsiTheme="minorEastAsia" w:eastAsiaTheme="minorEastAsia" w:cstheme="minorEastAsia"/>
          <w:kern w:val="2"/>
          <w:sz w:val="24"/>
          <w:szCs w:val="20"/>
          <w:lang w:val="en-US" w:bidi="ar-SA"/>
        </w:rPr>
        <w:t>日（小时）之内做出及时响应，在</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日（小时）之内赶到现场实地解决问题。若问题在</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工作日（小时）后仍无法解决，乙方应在</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日（小时）内免费提供服务的补偿、替换方案，直至服务恢复正常。</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3.乙方必须遵守甲方的有关管理制度、操作规程。对于乙方违规操作造成甲方损失的，由乙方按照本合同第十二条的约定承担赔偿责任。</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第十条  分包</w:t>
      </w:r>
    </w:p>
    <w:p>
      <w:pPr>
        <w:autoSpaceDE/>
        <w:autoSpaceDN/>
        <w:spacing w:line="360" w:lineRule="auto"/>
        <w:ind w:firstLine="480" w:firstLineChars="200"/>
        <w:jc w:val="both"/>
        <w:rPr>
          <w:rFonts w:asciiTheme="minorEastAsia" w:hAnsiTheme="minorEastAsia" w:eastAsiaTheme="minorEastAsia" w:cstheme="minorEastAsia"/>
          <w:strike/>
          <w:kern w:val="2"/>
          <w:sz w:val="24"/>
          <w:szCs w:val="20"/>
          <w:lang w:val="en-US" w:bidi="ar-SA"/>
        </w:rPr>
      </w:pPr>
      <w:r>
        <w:rPr>
          <w:rFonts w:hint="eastAsia" w:asciiTheme="minorEastAsia" w:hAnsiTheme="minorEastAsia" w:eastAsiaTheme="minorEastAsia" w:cstheme="minorEastAsia"/>
          <w:kern w:val="2"/>
          <w:sz w:val="24"/>
          <w:szCs w:val="20"/>
          <w:lang w:val="en-US" w:bidi="ar-SA"/>
        </w:rPr>
        <w:t>除招标采购文件事先说明、且经甲方事先书面同意外，乙方不得分包、转包其应履行的合同义务。</w:t>
      </w:r>
    </w:p>
    <w:p>
      <w:pPr>
        <w:autoSpaceDE/>
        <w:autoSpaceDN/>
        <w:spacing w:line="360" w:lineRule="auto"/>
        <w:ind w:firstLine="482" w:firstLineChars="200"/>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第十一条  合同的生效</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1.本合同经甲乙双方授权代表签字并加盖公章或合同专用章后生效。</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2.生效后，除《政府采购法》第49条、第50条第二款规定的情形外，甲乙双方不得擅自变更、中止或终止合同。</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第十二条  违约责任</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1.乙方所交付服务成果不符合本合同规定的，甲方有权拒收，乙方在得到甲方通知之日起</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个工作日内采取补救措施，逾期仍未采取有效措施的，甲方有权要求乙方赔偿因此造成的损失或扣留履约保证金；同时乙方应向甲方支付合同总价</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％的违约金。</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 xml:space="preserve">2.甲方无正当理由拒收服务，甲方应向乙方偿付拒付服务费用 </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％的违约金。</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3.乙方无正当理由逾期交付服务的，每逾期1天，乙方向甲方偿付合同总额的</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‰的违约金。如乙方逾期达</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天，甲方有权解除合同，甲方解除合同的通知自到达乙方时生效。在此情况下，乙方给甲方造成的实际损失高于违约金的，对高出违约金的部分乙方应予以赔偿。</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4.甲方未按合同规定的期限向乙方支付合同款的，每逾期1天甲方向乙方偿付欠款总额的</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‰违约金，但累计违约金总额不超过欠款总额的</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5.其它未尽事宜，以《合同法》和《政府采购法》等有关法律法规规定为准，无相关规定的，双方协商解决。</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第十三条  不可抗力</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甲、乙方中任何一方，因不可抗力不能按时或完全履行合同的，应及时通知对方，并在</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个工作日内提供相应证明，结算服务费用。未履行的部分是否继续履行、如何履行等问题，可由双方初步协商，并向主管部门和政府采购管理部门报告。确定为不可抗力原因造成的损失，免予承担责任。</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第十四条  争议的解决方式</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1.因服务质量问题发生争议的，应当邀请国家认可的质量检测机构对服务进行鉴定。服务符合标准的，鉴定费由甲方承担；不符合质量标准的，鉴定费由乙方承担。</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2.在解释或者执行本合同的过程中发生争议时，双方应通过协商方式解决。</w:t>
      </w:r>
    </w:p>
    <w:p>
      <w:pPr>
        <w:autoSpaceDE/>
        <w:autoSpaceDN/>
        <w:spacing w:line="480" w:lineRule="exact"/>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3.经协商不能解决的争议，双方可选择以下第</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种方式解决：</w:t>
      </w:r>
    </w:p>
    <w:p>
      <w:pPr>
        <w:autoSpaceDE/>
        <w:autoSpaceDN/>
        <w:spacing w:line="480" w:lineRule="exact"/>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①向当地有管辖权的法院提起诉讼；</w:t>
      </w:r>
    </w:p>
    <w:p>
      <w:pPr>
        <w:autoSpaceDE/>
        <w:autoSpaceDN/>
        <w:spacing w:line="480" w:lineRule="exact"/>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②向当地仲裁委员会提出仲裁。</w:t>
      </w:r>
    </w:p>
    <w:p>
      <w:pPr>
        <w:autoSpaceDE/>
        <w:autoSpaceDN/>
        <w:spacing w:line="480" w:lineRule="exact"/>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4.在法院审理和仲裁期间，除有争议部分外，本合同其他部分可以履行的仍应按合同条款继续履行。</w:t>
      </w:r>
    </w:p>
    <w:p>
      <w:pPr>
        <w:autoSpaceDE/>
        <w:autoSpaceDN/>
        <w:spacing w:line="360" w:lineRule="auto"/>
        <w:ind w:left="482"/>
        <w:jc w:val="both"/>
        <w:rPr>
          <w:rFonts w:asciiTheme="minorEastAsia" w:hAnsiTheme="minorEastAsia" w:eastAsiaTheme="minorEastAsia" w:cstheme="minorEastAsia"/>
          <w:b/>
          <w:kern w:val="2"/>
          <w:sz w:val="24"/>
          <w:szCs w:val="20"/>
          <w:lang w:val="en-US" w:bidi="ar-SA"/>
        </w:rPr>
      </w:pPr>
      <w:r>
        <w:rPr>
          <w:rFonts w:hint="eastAsia" w:asciiTheme="minorEastAsia" w:hAnsiTheme="minorEastAsia" w:eastAsiaTheme="minorEastAsia" w:cstheme="minorEastAsia"/>
          <w:b/>
          <w:kern w:val="2"/>
          <w:sz w:val="24"/>
          <w:szCs w:val="20"/>
          <w:lang w:val="en-US" w:bidi="ar-SA"/>
        </w:rPr>
        <w:t>第十五条  其他</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符合《政府采购法》第49条规定的，经双方协商，办理政府采购手续后，可签订补充合同，所签订的补充合同与本合同具有同等法律效力。</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本合同一式</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份，甲、乙双方各执</w:t>
      </w:r>
      <w:r>
        <w:rPr>
          <w:rFonts w:hint="eastAsia" w:asciiTheme="minorEastAsia" w:hAnsiTheme="minorEastAsia" w:eastAsiaTheme="minorEastAsia" w:cstheme="minorEastAsia"/>
          <w:kern w:val="2"/>
          <w:sz w:val="24"/>
          <w:szCs w:val="20"/>
          <w:u w:val="single"/>
          <w:lang w:val="en-US" w:bidi="ar-SA"/>
        </w:rPr>
        <w:t xml:space="preserve">    </w:t>
      </w:r>
      <w:r>
        <w:rPr>
          <w:rFonts w:hint="eastAsia" w:asciiTheme="minorEastAsia" w:hAnsiTheme="minorEastAsia" w:eastAsiaTheme="minorEastAsia" w:cstheme="minorEastAsia"/>
          <w:kern w:val="2"/>
          <w:sz w:val="24"/>
          <w:szCs w:val="20"/>
          <w:lang w:val="en-US" w:bidi="ar-SA"/>
        </w:rPr>
        <w:t>份。</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甲   方：                        乙   方：</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名称：（盖章）                    名称：（盖章）</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地址：                           地址：</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法定代表人（签字）：              法定代表人（签字）：</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授权代表（签字）：                授权代表（签字）：</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开户银行：                       开户银行（基本账户）：</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银行帐号：                       银行帐号（基本账户）：</w:t>
      </w:r>
    </w:p>
    <w:p>
      <w:pPr>
        <w:autoSpaceDE/>
        <w:autoSpaceDN/>
        <w:spacing w:line="360" w:lineRule="auto"/>
        <w:ind w:firstLine="480" w:firstLineChars="200"/>
        <w:jc w:val="both"/>
        <w:rPr>
          <w:rFonts w:asciiTheme="minorEastAsia" w:hAnsiTheme="minorEastAsia" w:eastAsiaTheme="minorEastAsia" w:cstheme="minorEastAsia"/>
          <w:kern w:val="2"/>
          <w:sz w:val="24"/>
          <w:szCs w:val="20"/>
          <w:lang w:val="en-US" w:bidi="ar-SA"/>
        </w:rPr>
      </w:pPr>
      <w:r>
        <w:rPr>
          <w:rFonts w:hint="eastAsia" w:asciiTheme="minorEastAsia" w:hAnsiTheme="minorEastAsia" w:eastAsiaTheme="minorEastAsia" w:cstheme="minorEastAsia"/>
          <w:kern w:val="2"/>
          <w:sz w:val="24"/>
          <w:szCs w:val="20"/>
          <w:lang w:val="en-US" w:bidi="ar-SA"/>
        </w:rPr>
        <w:t>甲方合同法律审核（盖章）：</w:t>
      </w:r>
    </w:p>
    <w:p>
      <w:pPr>
        <w:autoSpaceDE/>
        <w:autoSpaceDN/>
        <w:jc w:val="both"/>
        <w:rPr>
          <w:rFonts w:asciiTheme="minorEastAsia" w:hAnsiTheme="minorEastAsia" w:eastAsiaTheme="minorEastAsia" w:cstheme="minorEastAsia"/>
          <w:kern w:val="2"/>
          <w:sz w:val="21"/>
          <w:szCs w:val="20"/>
          <w:lang w:val="en-US" w:bidi="ar-SA"/>
        </w:rPr>
      </w:pPr>
      <w:r>
        <w:rPr>
          <w:rFonts w:hint="eastAsia" w:asciiTheme="minorEastAsia" w:hAnsiTheme="minorEastAsia" w:eastAsiaTheme="minorEastAsia" w:cstheme="minorEastAsia"/>
          <w:kern w:val="2"/>
          <w:sz w:val="24"/>
          <w:szCs w:val="20"/>
          <w:lang w:val="en-US" w:bidi="ar-SA"/>
        </w:rPr>
        <w:t>时间：         年     月     日</w:t>
      </w:r>
    </w:p>
    <w:p>
      <w:pPr>
        <w:pStyle w:val="20"/>
        <w:ind w:firstLine="480"/>
        <w:rPr>
          <w:rFonts w:asciiTheme="minorEastAsia" w:hAnsiTheme="minorEastAsia" w:eastAsiaTheme="minorEastAsia" w:cstheme="minorEastAsia"/>
        </w:rPr>
        <w:sectPr>
          <w:pgSz w:w="11910" w:h="16840"/>
          <w:pgMar w:top="1361" w:right="1417" w:bottom="1361" w:left="1417" w:header="0" w:footer="913" w:gutter="0"/>
          <w:cols w:space="425" w:num="1"/>
        </w:sectPr>
      </w:pPr>
    </w:p>
    <w:p>
      <w:pPr>
        <w:pStyle w:val="4"/>
        <w:ind w:left="0" w:right="0"/>
      </w:pPr>
      <w:bookmarkStart w:id="19" w:name="_Toc10528"/>
      <w:r>
        <w:t>第五章 项目内容和要求</w:t>
      </w:r>
      <w:bookmarkEnd w:id="19"/>
    </w:p>
    <w:p>
      <w:pPr>
        <w:spacing w:line="278" w:lineRule="auto"/>
        <w:jc w:val="both"/>
        <w:rPr>
          <w:sz w:val="21"/>
        </w:rPr>
      </w:pPr>
    </w:p>
    <w:p>
      <w:pPr>
        <w:pStyle w:val="26"/>
        <w:numPr>
          <w:ilvl w:val="0"/>
          <w:numId w:val="6"/>
        </w:numPr>
        <w:wordWrap w:val="0"/>
        <w:topLinePunct/>
        <w:autoSpaceDE/>
        <w:autoSpaceDN/>
        <w:spacing w:line="360" w:lineRule="auto"/>
        <w:ind w:left="0" w:firstLine="562" w:firstLineChars="200"/>
        <w:outlineLvl w:val="1"/>
        <w:rPr>
          <w:b/>
          <w:sz w:val="28"/>
        </w:rPr>
      </w:pPr>
      <w:bookmarkStart w:id="20" w:name="_Toc19234"/>
      <w:r>
        <w:rPr>
          <w:rFonts w:hint="eastAsia"/>
          <w:b/>
          <w:sz w:val="28"/>
        </w:rPr>
        <w:t>项目概况</w:t>
      </w:r>
      <w:bookmarkEnd w:id="20"/>
    </w:p>
    <w:p>
      <w:pPr>
        <w:pStyle w:val="26"/>
        <w:wordWrap w:val="0"/>
        <w:topLinePunct/>
        <w:autoSpaceDE/>
        <w:autoSpaceDN/>
        <w:spacing w:line="360" w:lineRule="auto"/>
        <w:ind w:left="0" w:firstLineChars="200"/>
        <w:rPr>
          <w:sz w:val="24"/>
          <w:szCs w:val="24"/>
          <w:shd w:val="clear" w:color="auto" w:fill="FFFFFF"/>
        </w:rPr>
      </w:pPr>
      <w:r>
        <w:rPr>
          <w:rFonts w:hint="eastAsia"/>
          <w:sz w:val="24"/>
          <w:szCs w:val="24"/>
          <w:shd w:val="clear" w:color="auto" w:fill="FFFFFF"/>
        </w:rPr>
        <w:t>南阳市生态环境局拟采购大气污染防治精准决策系统建设与技术服务，拟中标人需基于大气环境远景目标，以需求为导向，深入推进物联网、生态AI云架构、3D建模技术、大数据分析、区块链、人工智能等技术在大气环境保护领域的应用，构建“生态大脑蓝天云”，以通过大气环境感知、分析、管理与管控等方式，制定适应新时期大气环境保护工作的可达性方案。</w:t>
      </w:r>
    </w:p>
    <w:p>
      <w:pPr>
        <w:pStyle w:val="35"/>
        <w:spacing w:line="360" w:lineRule="auto"/>
        <w:ind w:firstLine="480"/>
        <w:rPr>
          <w:rFonts w:eastAsia="宋体"/>
          <w:color w:val="121212"/>
          <w:kern w:val="0"/>
          <w:sz w:val="24"/>
          <w:szCs w:val="24"/>
          <w:shd w:val="clear" w:color="auto" w:fill="FFFFFF"/>
        </w:rPr>
      </w:pPr>
      <w:r>
        <w:rPr>
          <w:rFonts w:eastAsia="宋体"/>
          <w:color w:val="121212"/>
          <w:kern w:val="0"/>
          <w:sz w:val="24"/>
          <w:szCs w:val="24"/>
          <w:shd w:val="clear" w:color="auto" w:fill="FFFFFF"/>
        </w:rPr>
        <w:t>建立大气环境物联监测网络，</w:t>
      </w:r>
      <w:r>
        <w:rPr>
          <w:rFonts w:hint="eastAsia" w:eastAsia="宋体"/>
          <w:color w:val="121212"/>
          <w:kern w:val="0"/>
          <w:sz w:val="24"/>
          <w:szCs w:val="24"/>
          <w:shd w:val="clear" w:color="auto" w:fill="FFFFFF"/>
        </w:rPr>
        <w:t>实现网格化精准监测，</w:t>
      </w:r>
      <w:r>
        <w:rPr>
          <w:rFonts w:eastAsia="宋体"/>
          <w:color w:val="121212"/>
          <w:kern w:val="0"/>
          <w:sz w:val="24"/>
          <w:szCs w:val="24"/>
          <w:shd w:val="clear" w:color="auto" w:fill="FFFFFF"/>
        </w:rPr>
        <w:t>实时采集大气环境质量数据，打通监测与监管通道，缩短发现问题至解决问题时间；搭建智能分析与管理平台，实现监测数据可视化、整体（大气）数据融合共享化；提供大气环境管理咨询与管控服务，实现环境污染问题管控科学化、精准化。</w:t>
      </w:r>
    </w:p>
    <w:p>
      <w:pPr>
        <w:pStyle w:val="26"/>
        <w:wordWrap w:val="0"/>
        <w:topLinePunct/>
        <w:autoSpaceDE/>
        <w:autoSpaceDN/>
        <w:spacing w:line="360" w:lineRule="auto"/>
        <w:ind w:left="0" w:firstLineChars="200"/>
        <w:rPr>
          <w:b/>
          <w:sz w:val="24"/>
          <w:szCs w:val="24"/>
        </w:rPr>
      </w:pPr>
      <w:r>
        <w:rPr>
          <w:rFonts w:hint="eastAsia"/>
          <w:sz w:val="24"/>
          <w:szCs w:val="24"/>
          <w:shd w:val="clear" w:color="auto" w:fill="FFFFFF"/>
        </w:rPr>
        <w:t>此项目中硬件部分建设实现覆盖南阳市</w:t>
      </w:r>
      <w:r>
        <w:rPr>
          <w:rFonts w:hint="eastAsia"/>
          <w:sz w:val="24"/>
          <w:szCs w:val="24"/>
          <w:shd w:val="clear" w:color="auto" w:fill="FFFFFF"/>
          <w:lang w:val="en-US"/>
        </w:rPr>
        <w:t>中心城区</w:t>
      </w:r>
      <w:r>
        <w:rPr>
          <w:rFonts w:hint="eastAsia"/>
          <w:sz w:val="24"/>
          <w:szCs w:val="24"/>
          <w:shd w:val="clear" w:color="auto" w:fill="FFFFFF"/>
        </w:rPr>
        <w:t>建成区，利用现有重型柴油车远程在线监控指挥中心屏幕建设总控平台部分，后期数据所有权归南阳市生态环境局，数据不得对外泄露，服务期间保证每年空气质量持续改善并能完成当年既定目标。</w:t>
      </w:r>
    </w:p>
    <w:p>
      <w:pPr>
        <w:pStyle w:val="26"/>
        <w:wordWrap w:val="0"/>
        <w:topLinePunct/>
        <w:autoSpaceDE/>
        <w:autoSpaceDN/>
        <w:spacing w:line="360" w:lineRule="auto"/>
        <w:ind w:left="0" w:firstLine="562" w:firstLineChars="200"/>
        <w:outlineLvl w:val="1"/>
      </w:pPr>
      <w:bookmarkStart w:id="21" w:name="_Toc364"/>
      <w:r>
        <w:rPr>
          <w:rFonts w:hint="eastAsia"/>
          <w:b/>
          <w:sz w:val="28"/>
        </w:rPr>
        <w:t>二、采购需求</w:t>
      </w:r>
      <w:bookmarkEnd w:id="21"/>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7"/>
        <w:gridCol w:w="1700"/>
        <w:gridCol w:w="2906"/>
        <w:gridCol w:w="740"/>
        <w:gridCol w:w="1071"/>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664" w:type="pct"/>
            <w:shd w:val="clear" w:color="auto" w:fill="D9D9D9"/>
            <w:tcMar>
              <w:top w:w="10" w:type="dxa"/>
              <w:left w:w="10" w:type="dxa"/>
              <w:right w:w="10" w:type="dxa"/>
            </w:tcMar>
            <w:vAlign w:val="center"/>
          </w:tcPr>
          <w:p>
            <w:pPr>
              <w:widowControl/>
              <w:jc w:val="center"/>
              <w:textAlignment w:val="center"/>
              <w:rPr>
                <w:b/>
                <w:sz w:val="21"/>
                <w:szCs w:val="21"/>
              </w:rPr>
            </w:pPr>
            <w:bookmarkStart w:id="22" w:name="OLE_LINK1"/>
            <w:r>
              <w:rPr>
                <w:rFonts w:hint="eastAsia"/>
                <w:b/>
                <w:sz w:val="21"/>
                <w:szCs w:val="21"/>
                <w:lang w:bidi="ar"/>
              </w:rPr>
              <w:t>服务类型</w:t>
            </w:r>
          </w:p>
        </w:tc>
        <w:tc>
          <w:tcPr>
            <w:tcW w:w="2533" w:type="pct"/>
            <w:gridSpan w:val="2"/>
            <w:shd w:val="clear" w:color="auto" w:fill="D9D9D9"/>
            <w:tcMar>
              <w:top w:w="10" w:type="dxa"/>
              <w:left w:w="10" w:type="dxa"/>
              <w:right w:w="10" w:type="dxa"/>
            </w:tcMar>
            <w:vAlign w:val="center"/>
          </w:tcPr>
          <w:p>
            <w:pPr>
              <w:widowControl/>
              <w:jc w:val="center"/>
              <w:textAlignment w:val="center"/>
              <w:rPr>
                <w:b/>
                <w:sz w:val="21"/>
                <w:szCs w:val="21"/>
              </w:rPr>
            </w:pPr>
            <w:r>
              <w:rPr>
                <w:rFonts w:hint="eastAsia"/>
                <w:b/>
                <w:sz w:val="21"/>
                <w:szCs w:val="21"/>
                <w:lang w:bidi="ar"/>
              </w:rPr>
              <w:t>服务内容</w:t>
            </w:r>
          </w:p>
        </w:tc>
        <w:tc>
          <w:tcPr>
            <w:tcW w:w="407" w:type="pct"/>
            <w:shd w:val="clear" w:color="auto" w:fill="D9D9D9"/>
            <w:tcMar>
              <w:top w:w="10" w:type="dxa"/>
              <w:left w:w="10" w:type="dxa"/>
              <w:right w:w="10" w:type="dxa"/>
            </w:tcMar>
            <w:vAlign w:val="center"/>
          </w:tcPr>
          <w:p>
            <w:pPr>
              <w:widowControl/>
              <w:jc w:val="center"/>
              <w:textAlignment w:val="center"/>
              <w:rPr>
                <w:b/>
                <w:sz w:val="21"/>
                <w:szCs w:val="21"/>
              </w:rPr>
            </w:pPr>
            <w:r>
              <w:rPr>
                <w:rFonts w:hint="eastAsia"/>
                <w:b/>
                <w:sz w:val="21"/>
                <w:szCs w:val="21"/>
                <w:lang w:bidi="ar"/>
              </w:rPr>
              <w:t>数量</w:t>
            </w:r>
          </w:p>
        </w:tc>
        <w:tc>
          <w:tcPr>
            <w:tcW w:w="589" w:type="pct"/>
            <w:shd w:val="clear" w:color="auto" w:fill="D9D9D9"/>
            <w:tcMar>
              <w:top w:w="10" w:type="dxa"/>
              <w:left w:w="10" w:type="dxa"/>
              <w:right w:w="10" w:type="dxa"/>
            </w:tcMar>
            <w:vAlign w:val="center"/>
          </w:tcPr>
          <w:p>
            <w:pPr>
              <w:widowControl/>
              <w:jc w:val="center"/>
              <w:textAlignment w:val="center"/>
              <w:rPr>
                <w:b/>
                <w:sz w:val="21"/>
                <w:szCs w:val="21"/>
              </w:rPr>
            </w:pPr>
            <w:r>
              <w:rPr>
                <w:rFonts w:hint="eastAsia"/>
                <w:b/>
                <w:sz w:val="21"/>
                <w:szCs w:val="21"/>
                <w:lang w:bidi="ar"/>
              </w:rPr>
              <w:t>单位</w:t>
            </w:r>
          </w:p>
        </w:tc>
        <w:tc>
          <w:tcPr>
            <w:tcW w:w="807" w:type="pct"/>
            <w:shd w:val="clear" w:color="auto" w:fill="D9D9D9"/>
            <w:noWrap/>
            <w:tcMar>
              <w:top w:w="10" w:type="dxa"/>
              <w:left w:w="10" w:type="dxa"/>
              <w:right w:w="10" w:type="dxa"/>
            </w:tcMar>
            <w:vAlign w:val="center"/>
          </w:tcPr>
          <w:p>
            <w:pPr>
              <w:widowControl/>
              <w:jc w:val="center"/>
              <w:textAlignment w:val="center"/>
              <w:rPr>
                <w:b/>
                <w:sz w:val="21"/>
                <w:szCs w:val="21"/>
              </w:rPr>
            </w:pPr>
            <w:r>
              <w:rPr>
                <w:rFonts w:hint="eastAsia"/>
                <w:b/>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664" w:type="pct"/>
            <w:vMerge w:val="restar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大气环境物联监测网络</w:t>
            </w: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七参数空气质量微型站</w:t>
            </w:r>
          </w:p>
          <w:p>
            <w:pPr>
              <w:jc w:val="center"/>
              <w:textAlignment w:val="center"/>
              <w:rPr>
                <w:sz w:val="21"/>
                <w:szCs w:val="21"/>
              </w:rPr>
            </w:pPr>
            <w:r>
              <w:rPr>
                <w:rFonts w:hint="eastAsia"/>
                <w:sz w:val="21"/>
                <w:szCs w:val="21"/>
                <w:lang w:bidi="ar"/>
              </w:rPr>
              <w:t>（PM</w:t>
            </w:r>
            <w:r>
              <w:rPr>
                <w:rFonts w:hint="eastAsia"/>
                <w:sz w:val="21"/>
                <w:szCs w:val="21"/>
                <w:vertAlign w:val="subscript"/>
                <w:lang w:bidi="ar"/>
              </w:rPr>
              <w:t>10</w:t>
            </w:r>
            <w:r>
              <w:rPr>
                <w:rFonts w:hint="eastAsia"/>
                <w:sz w:val="21"/>
                <w:szCs w:val="21"/>
                <w:lang w:bidi="ar"/>
              </w:rPr>
              <w:t>、</w:t>
            </w:r>
            <w:r>
              <w:rPr>
                <w:rStyle w:val="30"/>
                <w:rFonts w:hint="eastAsia" w:ascii="宋体" w:hAnsi="宋体" w:cs="宋体"/>
                <w:color w:val="auto"/>
                <w:lang w:bidi="ar"/>
              </w:rPr>
              <w:t>PM</w:t>
            </w:r>
            <w:r>
              <w:rPr>
                <w:rStyle w:val="30"/>
                <w:rFonts w:hint="eastAsia" w:ascii="宋体" w:hAnsi="宋体" w:cs="宋体"/>
                <w:color w:val="auto"/>
                <w:vertAlign w:val="subscript"/>
                <w:lang w:bidi="ar"/>
              </w:rPr>
              <w:t>2.5</w:t>
            </w:r>
            <w:r>
              <w:rPr>
                <w:rFonts w:hint="eastAsia"/>
                <w:sz w:val="21"/>
                <w:szCs w:val="21"/>
                <w:lang w:bidi="ar"/>
              </w:rPr>
              <w:t>、</w:t>
            </w:r>
            <w:r>
              <w:rPr>
                <w:rStyle w:val="30"/>
                <w:rFonts w:hint="eastAsia" w:ascii="宋体" w:hAnsi="宋体" w:cs="宋体"/>
                <w:color w:val="auto"/>
                <w:lang w:bidi="ar"/>
              </w:rPr>
              <w:t>SO</w:t>
            </w:r>
            <w:r>
              <w:rPr>
                <w:rStyle w:val="30"/>
                <w:rFonts w:hint="eastAsia" w:ascii="宋体" w:hAnsi="宋体" w:cs="宋体"/>
                <w:color w:val="auto"/>
                <w:vertAlign w:val="subscript"/>
                <w:lang w:bidi="ar"/>
              </w:rPr>
              <w:t>2</w:t>
            </w:r>
            <w:r>
              <w:rPr>
                <w:rFonts w:hint="eastAsia"/>
                <w:sz w:val="21"/>
                <w:szCs w:val="21"/>
                <w:lang w:bidi="ar"/>
              </w:rPr>
              <w:t>、</w:t>
            </w:r>
            <w:r>
              <w:rPr>
                <w:rStyle w:val="30"/>
                <w:rFonts w:hint="eastAsia" w:ascii="宋体" w:hAnsi="宋体" w:cs="宋体"/>
                <w:color w:val="auto"/>
                <w:lang w:bidi="ar"/>
              </w:rPr>
              <w:t>NO</w:t>
            </w:r>
            <w:r>
              <w:rPr>
                <w:rStyle w:val="30"/>
                <w:rFonts w:hint="eastAsia" w:ascii="宋体" w:hAnsi="宋体" w:cs="宋体"/>
                <w:color w:val="auto"/>
                <w:vertAlign w:val="subscript"/>
                <w:lang w:bidi="ar"/>
              </w:rPr>
              <w:t>2</w:t>
            </w:r>
            <w:r>
              <w:rPr>
                <w:rFonts w:hint="eastAsia"/>
                <w:sz w:val="21"/>
                <w:szCs w:val="21"/>
                <w:lang w:bidi="ar"/>
              </w:rPr>
              <w:t>、</w:t>
            </w:r>
            <w:r>
              <w:rPr>
                <w:rStyle w:val="30"/>
                <w:rFonts w:hint="eastAsia" w:ascii="宋体" w:hAnsi="宋体" w:cs="宋体"/>
                <w:color w:val="auto"/>
                <w:lang w:bidi="ar"/>
              </w:rPr>
              <w:t>CO</w:t>
            </w:r>
            <w:r>
              <w:rPr>
                <w:rFonts w:hint="eastAsia"/>
                <w:sz w:val="21"/>
                <w:szCs w:val="21"/>
                <w:lang w:bidi="ar"/>
              </w:rPr>
              <w:t>、</w:t>
            </w:r>
            <w:r>
              <w:rPr>
                <w:rStyle w:val="30"/>
                <w:rFonts w:hint="eastAsia" w:ascii="宋体" w:hAnsi="宋体" w:cs="宋体"/>
                <w:color w:val="auto"/>
                <w:lang w:bidi="ar"/>
              </w:rPr>
              <w:t>O</w:t>
            </w:r>
            <w:r>
              <w:rPr>
                <w:rStyle w:val="30"/>
                <w:rFonts w:hint="eastAsia" w:ascii="宋体" w:hAnsi="宋体" w:cs="宋体"/>
                <w:color w:val="auto"/>
                <w:vertAlign w:val="subscript"/>
                <w:lang w:bidi="ar"/>
              </w:rPr>
              <w:t>3</w:t>
            </w:r>
            <w:r>
              <w:rPr>
                <w:rFonts w:hint="eastAsia"/>
                <w:sz w:val="21"/>
                <w:szCs w:val="21"/>
                <w:lang w:bidi="ar"/>
              </w:rPr>
              <w:t>、T</w:t>
            </w:r>
            <w:r>
              <w:rPr>
                <w:rStyle w:val="30"/>
                <w:rFonts w:hint="eastAsia" w:ascii="宋体" w:hAnsi="宋体" w:cs="宋体"/>
                <w:color w:val="auto"/>
                <w:lang w:bidi="ar"/>
              </w:rPr>
              <w:t>VOC</w:t>
            </w:r>
            <w:r>
              <w:rPr>
                <w:rFonts w:hint="eastAsia"/>
                <w:sz w:val="21"/>
                <w:szCs w:val="21"/>
                <w:lang w:bidi="ar"/>
              </w:rPr>
              <w:t>）</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119</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vMerge w:val="restar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rPr>
              <w:t>租赁设备并购买数据服务3年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两参数空气质量微型站（PM</w:t>
            </w:r>
            <w:r>
              <w:rPr>
                <w:rFonts w:hint="eastAsia"/>
                <w:sz w:val="21"/>
                <w:szCs w:val="21"/>
                <w:vertAlign w:val="subscript"/>
                <w:lang w:bidi="ar"/>
              </w:rPr>
              <w:t>10</w:t>
            </w:r>
            <w:r>
              <w:rPr>
                <w:rFonts w:hint="eastAsia"/>
                <w:sz w:val="21"/>
                <w:szCs w:val="21"/>
                <w:lang w:bidi="ar"/>
              </w:rPr>
              <w:t>、</w:t>
            </w:r>
            <w:r>
              <w:rPr>
                <w:rStyle w:val="30"/>
                <w:rFonts w:hint="eastAsia" w:ascii="宋体" w:hAnsi="宋体" w:cs="宋体"/>
                <w:color w:val="auto"/>
                <w:lang w:bidi="ar"/>
              </w:rPr>
              <w:t>PM</w:t>
            </w:r>
            <w:r>
              <w:rPr>
                <w:rStyle w:val="30"/>
                <w:rFonts w:hint="eastAsia" w:ascii="宋体" w:hAnsi="宋体" w:cs="宋体"/>
                <w:color w:val="auto"/>
                <w:vertAlign w:val="subscript"/>
                <w:lang w:bidi="ar"/>
              </w:rPr>
              <w:t>2.5</w:t>
            </w:r>
            <w:r>
              <w:rPr>
                <w:rFonts w:hint="eastAsia"/>
                <w:sz w:val="21"/>
                <w:szCs w:val="21"/>
                <w:lang w:bidi="ar"/>
              </w:rPr>
              <w:t>）</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60</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vMerge w:val="continue"/>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664" w:type="pct"/>
            <w:vMerge w:val="continue"/>
            <w:shd w:val="clear" w:color="auto" w:fill="auto"/>
            <w:tcMar>
              <w:top w:w="10" w:type="dxa"/>
              <w:left w:w="10" w:type="dxa"/>
              <w:right w:w="10" w:type="dxa"/>
            </w:tcMar>
            <w:vAlign w:val="center"/>
          </w:tcPr>
          <w:p>
            <w:pPr>
              <w:jc w:val="center"/>
              <w:rPr>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便携式</w:t>
            </w:r>
            <w:r>
              <w:rPr>
                <w:rStyle w:val="30"/>
                <w:rFonts w:hint="eastAsia" w:ascii="宋体" w:hAnsi="宋体" w:cs="宋体"/>
                <w:color w:val="auto"/>
                <w:lang w:bidi="ar"/>
              </w:rPr>
              <w:t>TVOC传感监测</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vMerge w:val="continue"/>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664" w:type="pct"/>
            <w:vMerge w:val="continue"/>
            <w:shd w:val="clear" w:color="auto" w:fill="auto"/>
            <w:tcMar>
              <w:top w:w="10" w:type="dxa"/>
              <w:left w:w="10" w:type="dxa"/>
              <w:right w:w="10" w:type="dxa"/>
            </w:tcMar>
            <w:vAlign w:val="center"/>
          </w:tcPr>
          <w:p>
            <w:pPr>
              <w:jc w:val="center"/>
              <w:rPr>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便携式空气质量监测仪</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vMerge w:val="continue"/>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664" w:type="pct"/>
            <w:vMerge w:val="continue"/>
            <w:shd w:val="clear" w:color="auto" w:fill="auto"/>
            <w:tcMar>
              <w:top w:w="10" w:type="dxa"/>
              <w:left w:w="10" w:type="dxa"/>
              <w:right w:w="10" w:type="dxa"/>
            </w:tcMar>
            <w:vAlign w:val="center"/>
          </w:tcPr>
          <w:p>
            <w:pPr>
              <w:jc w:val="center"/>
              <w:rPr>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热成像双光谱云台摄像机</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10</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vMerge w:val="restar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rPr>
              <w:t>含运维3年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高空瞭望系统</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10</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vMerge w:val="continue"/>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restar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rPr>
              <w:t>大气环境分析管理平台</w:t>
            </w: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数据资源融合</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在线指挥一张图</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目标考核管理</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空气质量监测</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应急预警</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网格化指挥调度</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移动</w:t>
            </w:r>
            <w:r>
              <w:rPr>
                <w:rStyle w:val="30"/>
                <w:rFonts w:hint="eastAsia" w:ascii="宋体" w:hAnsi="宋体" w:cs="宋体"/>
                <w:color w:val="auto"/>
                <w:lang w:bidi="ar"/>
              </w:rPr>
              <w:t>APP管理</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污染源在线</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移动源管控</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2533" w:type="pct"/>
            <w:gridSpan w:val="2"/>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高空瞭望系统</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套</w:t>
            </w:r>
          </w:p>
        </w:tc>
        <w:tc>
          <w:tcPr>
            <w:tcW w:w="807" w:type="pct"/>
            <w:shd w:val="clear" w:color="auto" w:fill="auto"/>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664" w:type="pct"/>
            <w:vMerge w:val="restar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rPr>
              <w:t>专家团队咨询服务</w:t>
            </w:r>
          </w:p>
        </w:tc>
        <w:tc>
          <w:tcPr>
            <w:tcW w:w="935" w:type="pct"/>
            <w:vMerge w:val="restar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团队服务</w:t>
            </w: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驻场和远程指导服务</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年</w:t>
            </w:r>
          </w:p>
        </w:tc>
        <w:tc>
          <w:tcPr>
            <w:tcW w:w="807" w:type="pct"/>
            <w:vMerge w:val="restart"/>
            <w:shd w:val="clear" w:color="auto" w:fill="auto"/>
            <w:noWrap/>
            <w:tcMar>
              <w:top w:w="10" w:type="dxa"/>
              <w:left w:w="10" w:type="dxa"/>
              <w:right w:w="10" w:type="dxa"/>
            </w:tcMar>
            <w:vAlign w:val="center"/>
          </w:tcPr>
          <w:p>
            <w:pPr>
              <w:jc w:val="center"/>
              <w:rPr>
                <w:sz w:val="21"/>
                <w:szCs w:val="21"/>
              </w:rPr>
            </w:pPr>
            <w:r>
              <w:rPr>
                <w:rFonts w:hint="eastAsia"/>
                <w:sz w:val="21"/>
                <w:szCs w:val="21"/>
              </w:rPr>
              <w:t>服务期限3年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continue"/>
            <w:shd w:val="clear" w:color="auto" w:fill="auto"/>
            <w:tcMar>
              <w:top w:w="10" w:type="dxa"/>
              <w:left w:w="10" w:type="dxa"/>
              <w:right w:w="10" w:type="dxa"/>
            </w:tcMar>
            <w:vAlign w:val="center"/>
          </w:tcPr>
          <w:p>
            <w:pPr>
              <w:jc w:val="center"/>
              <w:rPr>
                <w:sz w:val="21"/>
                <w:szCs w:val="21"/>
              </w:rPr>
            </w:pP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本地化机制体制服务</w:t>
            </w:r>
          </w:p>
        </w:tc>
        <w:tc>
          <w:tcPr>
            <w:tcW w:w="407" w:type="pct"/>
            <w:shd w:val="clear" w:color="auto" w:fill="auto"/>
            <w:tcMar>
              <w:top w:w="10" w:type="dxa"/>
              <w:left w:w="10" w:type="dxa"/>
              <w:right w:w="10" w:type="dxa"/>
            </w:tcMar>
            <w:vAlign w:val="center"/>
          </w:tcPr>
          <w:p>
            <w:pPr>
              <w:jc w:val="center"/>
              <w:rPr>
                <w:sz w:val="21"/>
                <w:szCs w:val="21"/>
              </w:rPr>
            </w:pPr>
            <w:r>
              <w:rPr>
                <w:rFonts w:hint="eastAsia"/>
                <w:sz w:val="21"/>
                <w:szCs w:val="21"/>
              </w:rPr>
              <w:t>1</w:t>
            </w:r>
          </w:p>
        </w:tc>
        <w:tc>
          <w:tcPr>
            <w:tcW w:w="589" w:type="pct"/>
            <w:shd w:val="clear" w:color="auto" w:fill="auto"/>
            <w:tcMar>
              <w:top w:w="10" w:type="dxa"/>
              <w:left w:w="10" w:type="dxa"/>
              <w:right w:w="10" w:type="dxa"/>
            </w:tcMar>
            <w:vAlign w:val="center"/>
          </w:tcPr>
          <w:p>
            <w:pPr>
              <w:jc w:val="center"/>
              <w:rPr>
                <w:sz w:val="21"/>
                <w:szCs w:val="21"/>
              </w:rPr>
            </w:pPr>
            <w:r>
              <w:rPr>
                <w:rFonts w:hint="eastAsia"/>
                <w:sz w:val="21"/>
                <w:szCs w:val="21"/>
                <w:lang w:bidi="ar"/>
              </w:rPr>
              <w:t>年</w:t>
            </w:r>
          </w:p>
        </w:tc>
        <w:tc>
          <w:tcPr>
            <w:tcW w:w="807" w:type="pct"/>
            <w:vMerge w:val="continue"/>
            <w:shd w:val="clear" w:color="auto" w:fill="auto"/>
            <w:noWrap/>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continue"/>
            <w:shd w:val="clear" w:color="auto" w:fill="auto"/>
            <w:tcMar>
              <w:top w:w="10" w:type="dxa"/>
              <w:left w:w="10" w:type="dxa"/>
              <w:right w:w="10" w:type="dxa"/>
            </w:tcMar>
            <w:vAlign w:val="center"/>
          </w:tcPr>
          <w:p>
            <w:pPr>
              <w:jc w:val="center"/>
              <w:rPr>
                <w:sz w:val="21"/>
                <w:szCs w:val="21"/>
              </w:rPr>
            </w:pP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数据分析服务</w:t>
            </w:r>
          </w:p>
        </w:tc>
        <w:tc>
          <w:tcPr>
            <w:tcW w:w="407" w:type="pct"/>
            <w:shd w:val="clear" w:color="auto" w:fill="auto"/>
            <w:tcMar>
              <w:top w:w="10" w:type="dxa"/>
              <w:left w:w="10" w:type="dxa"/>
              <w:right w:w="10" w:type="dxa"/>
            </w:tcMar>
            <w:vAlign w:val="center"/>
          </w:tcPr>
          <w:p>
            <w:pPr>
              <w:jc w:val="center"/>
              <w:rPr>
                <w:sz w:val="21"/>
                <w:szCs w:val="21"/>
              </w:rPr>
            </w:pPr>
            <w:r>
              <w:rPr>
                <w:rFonts w:hint="eastAsia"/>
                <w:sz w:val="21"/>
                <w:szCs w:val="21"/>
              </w:rPr>
              <w:t>1</w:t>
            </w:r>
          </w:p>
        </w:tc>
        <w:tc>
          <w:tcPr>
            <w:tcW w:w="589" w:type="pct"/>
            <w:shd w:val="clear" w:color="auto" w:fill="auto"/>
            <w:tcMar>
              <w:top w:w="10" w:type="dxa"/>
              <w:left w:w="10" w:type="dxa"/>
              <w:right w:w="10" w:type="dxa"/>
            </w:tcMar>
            <w:vAlign w:val="center"/>
          </w:tcPr>
          <w:p>
            <w:pPr>
              <w:jc w:val="center"/>
              <w:rPr>
                <w:sz w:val="21"/>
                <w:szCs w:val="21"/>
              </w:rPr>
            </w:pPr>
            <w:r>
              <w:rPr>
                <w:rFonts w:hint="eastAsia"/>
                <w:sz w:val="21"/>
                <w:szCs w:val="21"/>
                <w:lang w:bidi="ar"/>
              </w:rPr>
              <w:t>年</w:t>
            </w:r>
          </w:p>
        </w:tc>
        <w:tc>
          <w:tcPr>
            <w:tcW w:w="807" w:type="pct"/>
            <w:vMerge w:val="continue"/>
            <w:shd w:val="clear" w:color="auto" w:fill="auto"/>
            <w:noWrap/>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continue"/>
            <w:shd w:val="clear" w:color="auto" w:fill="auto"/>
            <w:tcMar>
              <w:top w:w="10" w:type="dxa"/>
              <w:left w:w="10" w:type="dxa"/>
              <w:right w:w="10" w:type="dxa"/>
            </w:tcMar>
            <w:vAlign w:val="center"/>
          </w:tcPr>
          <w:p>
            <w:pPr>
              <w:jc w:val="center"/>
              <w:rPr>
                <w:sz w:val="21"/>
                <w:szCs w:val="21"/>
              </w:rPr>
            </w:pP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巡查排查服务</w:t>
            </w:r>
          </w:p>
        </w:tc>
        <w:tc>
          <w:tcPr>
            <w:tcW w:w="407" w:type="pct"/>
            <w:shd w:val="clear" w:color="auto" w:fill="auto"/>
            <w:tcMar>
              <w:top w:w="10" w:type="dxa"/>
              <w:left w:w="10" w:type="dxa"/>
              <w:right w:w="10" w:type="dxa"/>
            </w:tcMar>
            <w:vAlign w:val="center"/>
          </w:tcPr>
          <w:p>
            <w:pPr>
              <w:jc w:val="center"/>
              <w:rPr>
                <w:sz w:val="21"/>
                <w:szCs w:val="21"/>
              </w:rPr>
            </w:pPr>
            <w:r>
              <w:rPr>
                <w:rFonts w:hint="eastAsia"/>
                <w:sz w:val="21"/>
                <w:szCs w:val="21"/>
              </w:rPr>
              <w:t>1</w:t>
            </w:r>
          </w:p>
        </w:tc>
        <w:tc>
          <w:tcPr>
            <w:tcW w:w="589" w:type="pct"/>
            <w:shd w:val="clear" w:color="auto" w:fill="auto"/>
            <w:tcMar>
              <w:top w:w="10" w:type="dxa"/>
              <w:left w:w="10" w:type="dxa"/>
              <w:right w:w="10" w:type="dxa"/>
            </w:tcMar>
            <w:vAlign w:val="center"/>
          </w:tcPr>
          <w:p>
            <w:pPr>
              <w:jc w:val="center"/>
              <w:rPr>
                <w:sz w:val="21"/>
                <w:szCs w:val="21"/>
              </w:rPr>
            </w:pPr>
            <w:r>
              <w:rPr>
                <w:rFonts w:hint="eastAsia"/>
                <w:sz w:val="21"/>
                <w:szCs w:val="21"/>
                <w:lang w:bidi="ar"/>
              </w:rPr>
              <w:t>年</w:t>
            </w:r>
          </w:p>
        </w:tc>
        <w:tc>
          <w:tcPr>
            <w:tcW w:w="807" w:type="pct"/>
            <w:vMerge w:val="continue"/>
            <w:shd w:val="clear" w:color="auto" w:fill="auto"/>
            <w:noWrap/>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continue"/>
            <w:shd w:val="clear" w:color="auto" w:fill="auto"/>
            <w:tcMar>
              <w:top w:w="10" w:type="dxa"/>
              <w:left w:w="10" w:type="dxa"/>
              <w:right w:w="10" w:type="dxa"/>
            </w:tcMar>
            <w:vAlign w:val="center"/>
          </w:tcPr>
          <w:p>
            <w:pPr>
              <w:jc w:val="center"/>
              <w:rPr>
                <w:sz w:val="21"/>
                <w:szCs w:val="21"/>
              </w:rPr>
            </w:pP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重污染过程预警管控服务</w:t>
            </w:r>
          </w:p>
        </w:tc>
        <w:tc>
          <w:tcPr>
            <w:tcW w:w="407" w:type="pct"/>
            <w:shd w:val="clear" w:color="auto" w:fill="auto"/>
            <w:tcMar>
              <w:top w:w="10" w:type="dxa"/>
              <w:left w:w="10" w:type="dxa"/>
              <w:right w:w="10" w:type="dxa"/>
            </w:tcMar>
            <w:vAlign w:val="center"/>
          </w:tcPr>
          <w:p>
            <w:pPr>
              <w:jc w:val="center"/>
              <w:rPr>
                <w:sz w:val="21"/>
                <w:szCs w:val="21"/>
              </w:rPr>
            </w:pPr>
            <w:r>
              <w:rPr>
                <w:rFonts w:hint="eastAsia"/>
                <w:sz w:val="21"/>
                <w:szCs w:val="21"/>
              </w:rPr>
              <w:t>1</w:t>
            </w:r>
          </w:p>
        </w:tc>
        <w:tc>
          <w:tcPr>
            <w:tcW w:w="589" w:type="pct"/>
            <w:shd w:val="clear" w:color="auto" w:fill="auto"/>
            <w:tcMar>
              <w:top w:w="10" w:type="dxa"/>
              <w:left w:w="10" w:type="dxa"/>
              <w:right w:w="10" w:type="dxa"/>
            </w:tcMar>
            <w:vAlign w:val="center"/>
          </w:tcPr>
          <w:p>
            <w:pPr>
              <w:jc w:val="center"/>
              <w:rPr>
                <w:sz w:val="21"/>
                <w:szCs w:val="21"/>
              </w:rPr>
            </w:pPr>
            <w:r>
              <w:rPr>
                <w:rFonts w:hint="eastAsia"/>
                <w:sz w:val="21"/>
                <w:szCs w:val="21"/>
                <w:lang w:bidi="ar"/>
              </w:rPr>
              <w:t>年</w:t>
            </w:r>
          </w:p>
        </w:tc>
        <w:tc>
          <w:tcPr>
            <w:tcW w:w="807" w:type="pct"/>
            <w:vMerge w:val="continue"/>
            <w:shd w:val="clear" w:color="auto" w:fill="auto"/>
            <w:noWrap/>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continue"/>
            <w:shd w:val="clear" w:color="auto" w:fill="auto"/>
            <w:tcMar>
              <w:top w:w="10" w:type="dxa"/>
              <w:left w:w="10" w:type="dxa"/>
              <w:right w:w="10" w:type="dxa"/>
            </w:tcMar>
            <w:vAlign w:val="center"/>
          </w:tcPr>
          <w:p>
            <w:pPr>
              <w:jc w:val="center"/>
              <w:rPr>
                <w:sz w:val="21"/>
                <w:szCs w:val="21"/>
              </w:rPr>
            </w:pP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重点区域管控方案</w:t>
            </w:r>
          </w:p>
        </w:tc>
        <w:tc>
          <w:tcPr>
            <w:tcW w:w="407" w:type="pct"/>
            <w:shd w:val="clear" w:color="auto" w:fill="auto"/>
            <w:tcMar>
              <w:top w:w="10" w:type="dxa"/>
              <w:left w:w="10" w:type="dxa"/>
              <w:right w:w="10" w:type="dxa"/>
            </w:tcMar>
            <w:vAlign w:val="center"/>
          </w:tcPr>
          <w:p>
            <w:pPr>
              <w:jc w:val="center"/>
              <w:rPr>
                <w:sz w:val="21"/>
                <w:szCs w:val="21"/>
              </w:rPr>
            </w:pPr>
            <w:r>
              <w:rPr>
                <w:rFonts w:hint="eastAsia"/>
                <w:sz w:val="21"/>
                <w:szCs w:val="21"/>
              </w:rPr>
              <w:t>1</w:t>
            </w:r>
          </w:p>
        </w:tc>
        <w:tc>
          <w:tcPr>
            <w:tcW w:w="589" w:type="pct"/>
            <w:shd w:val="clear" w:color="auto" w:fill="auto"/>
            <w:tcMar>
              <w:top w:w="10" w:type="dxa"/>
              <w:left w:w="10" w:type="dxa"/>
              <w:right w:w="10" w:type="dxa"/>
            </w:tcMar>
            <w:vAlign w:val="center"/>
          </w:tcPr>
          <w:p>
            <w:pPr>
              <w:jc w:val="center"/>
              <w:rPr>
                <w:sz w:val="21"/>
                <w:szCs w:val="21"/>
              </w:rPr>
            </w:pPr>
            <w:r>
              <w:rPr>
                <w:rFonts w:hint="eastAsia"/>
                <w:sz w:val="21"/>
                <w:szCs w:val="21"/>
                <w:lang w:bidi="ar"/>
              </w:rPr>
              <w:t>年</w:t>
            </w:r>
          </w:p>
        </w:tc>
        <w:tc>
          <w:tcPr>
            <w:tcW w:w="807" w:type="pct"/>
            <w:vMerge w:val="continue"/>
            <w:shd w:val="clear" w:color="auto" w:fill="auto"/>
            <w:noWrap/>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restar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移动监测服务</w:t>
            </w: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大气走航监测</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12</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次</w:t>
            </w:r>
            <w:r>
              <w:rPr>
                <w:rStyle w:val="30"/>
                <w:rFonts w:hint="eastAsia" w:ascii="宋体" w:hAnsi="宋体" w:cs="宋体"/>
                <w:color w:val="auto"/>
                <w:lang w:bidi="ar"/>
              </w:rPr>
              <w:t>/年</w:t>
            </w:r>
          </w:p>
        </w:tc>
        <w:tc>
          <w:tcPr>
            <w:tcW w:w="807" w:type="pct"/>
            <w:vMerge w:val="continue"/>
            <w:shd w:val="clear" w:color="auto" w:fill="auto"/>
            <w:noWrap/>
            <w:tcMar>
              <w:top w:w="10" w:type="dxa"/>
              <w:left w:w="10" w:type="dxa"/>
              <w:right w:w="10" w:type="dxa"/>
            </w:tcMar>
            <w:vAlign w:val="center"/>
          </w:tcPr>
          <w:p>
            <w:pPr>
              <w:widowControl/>
              <w:jc w:val="center"/>
              <w:textAlignment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continue"/>
            <w:shd w:val="clear" w:color="auto" w:fill="auto"/>
            <w:tcMar>
              <w:top w:w="10" w:type="dxa"/>
              <w:left w:w="10" w:type="dxa"/>
              <w:right w:w="10" w:type="dxa"/>
            </w:tcMar>
            <w:vAlign w:val="center"/>
          </w:tcPr>
          <w:p>
            <w:pPr>
              <w:jc w:val="center"/>
              <w:rPr>
                <w:sz w:val="21"/>
                <w:szCs w:val="21"/>
              </w:rPr>
            </w:pP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道路积尘负荷走航</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12</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次</w:t>
            </w:r>
            <w:r>
              <w:rPr>
                <w:rStyle w:val="30"/>
                <w:rFonts w:hint="eastAsia" w:ascii="宋体" w:hAnsi="宋体" w:cs="宋体"/>
                <w:color w:val="auto"/>
                <w:lang w:bidi="ar"/>
              </w:rPr>
              <w:t>/年</w:t>
            </w:r>
          </w:p>
        </w:tc>
        <w:tc>
          <w:tcPr>
            <w:tcW w:w="807" w:type="pct"/>
            <w:vMerge w:val="continue"/>
            <w:shd w:val="clear" w:color="auto" w:fill="auto"/>
            <w:noWrap/>
            <w:tcMar>
              <w:top w:w="10" w:type="dxa"/>
              <w:left w:w="10" w:type="dxa"/>
              <w:right w:w="10" w:type="dxa"/>
            </w:tcMar>
            <w:vAlign w:val="center"/>
          </w:tcPr>
          <w:p>
            <w:pPr>
              <w:widowControl/>
              <w:jc w:val="center"/>
              <w:textAlignment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restart"/>
            <w:shd w:val="clear" w:color="auto" w:fill="auto"/>
            <w:tcMar>
              <w:top w:w="10" w:type="dxa"/>
              <w:left w:w="10" w:type="dxa"/>
              <w:right w:w="10" w:type="dxa"/>
            </w:tcMar>
            <w:vAlign w:val="center"/>
          </w:tcPr>
          <w:p>
            <w:pPr>
              <w:jc w:val="center"/>
              <w:textAlignment w:val="center"/>
              <w:rPr>
                <w:sz w:val="21"/>
                <w:szCs w:val="21"/>
              </w:rPr>
            </w:pPr>
            <w:r>
              <w:rPr>
                <w:rStyle w:val="30"/>
                <w:rFonts w:hint="eastAsia" w:ascii="宋体" w:hAnsi="宋体" w:cs="宋体"/>
                <w:color w:val="auto"/>
                <w:lang w:bidi="ar"/>
              </w:rPr>
              <w:t>溯源解析服务</w:t>
            </w:r>
          </w:p>
        </w:tc>
        <w:tc>
          <w:tcPr>
            <w:tcW w:w="1598" w:type="pct"/>
            <w:shd w:val="clear" w:color="auto" w:fill="auto"/>
            <w:vAlign w:val="center"/>
          </w:tcPr>
          <w:p>
            <w:pPr>
              <w:widowControl/>
              <w:jc w:val="center"/>
              <w:textAlignment w:val="center"/>
              <w:rPr>
                <w:sz w:val="21"/>
                <w:szCs w:val="21"/>
              </w:rPr>
            </w:pPr>
            <w:r>
              <w:rPr>
                <w:rFonts w:hint="eastAsia"/>
                <w:sz w:val="21"/>
                <w:szCs w:val="21"/>
                <w:lang w:bidi="ar"/>
              </w:rPr>
              <w:t>颗粒物源解析</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次</w:t>
            </w:r>
            <w:r>
              <w:rPr>
                <w:rStyle w:val="30"/>
                <w:rFonts w:hint="eastAsia" w:ascii="宋体" w:hAnsi="宋体" w:cs="宋体"/>
                <w:color w:val="auto"/>
                <w:lang w:bidi="ar"/>
              </w:rPr>
              <w:t>/年</w:t>
            </w:r>
          </w:p>
        </w:tc>
        <w:tc>
          <w:tcPr>
            <w:tcW w:w="807" w:type="pct"/>
            <w:vMerge w:val="continue"/>
            <w:shd w:val="clear" w:color="auto" w:fill="auto"/>
            <w:noWrap/>
            <w:tcMar>
              <w:top w:w="10" w:type="dxa"/>
              <w:left w:w="10" w:type="dxa"/>
              <w:right w:w="10" w:type="dxa"/>
            </w:tcMar>
            <w:vAlign w:val="center"/>
          </w:tcPr>
          <w:p>
            <w:pPr>
              <w:widowControl/>
              <w:jc w:val="center"/>
              <w:textAlignment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continue"/>
            <w:shd w:val="clear" w:color="auto" w:fill="auto"/>
            <w:tcMar>
              <w:top w:w="10" w:type="dxa"/>
              <w:left w:w="10" w:type="dxa"/>
              <w:right w:w="10" w:type="dxa"/>
            </w:tcMar>
            <w:vAlign w:val="center"/>
          </w:tcPr>
          <w:p>
            <w:pPr>
              <w:widowControl/>
              <w:jc w:val="center"/>
              <w:textAlignment w:val="center"/>
              <w:rPr>
                <w:sz w:val="21"/>
                <w:szCs w:val="21"/>
              </w:rPr>
            </w:pP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VOCs</w:t>
            </w:r>
            <w:r>
              <w:rPr>
                <w:rStyle w:val="30"/>
                <w:rFonts w:hint="eastAsia" w:ascii="宋体" w:hAnsi="宋体" w:cs="宋体"/>
                <w:color w:val="auto"/>
                <w:lang w:bidi="ar"/>
              </w:rPr>
              <w:t>组分解析</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1</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次</w:t>
            </w:r>
            <w:r>
              <w:rPr>
                <w:rStyle w:val="30"/>
                <w:rFonts w:hint="eastAsia" w:ascii="宋体" w:hAnsi="宋体" w:cs="宋体"/>
                <w:color w:val="auto"/>
                <w:lang w:bidi="ar"/>
              </w:rPr>
              <w:t>/年</w:t>
            </w:r>
          </w:p>
        </w:tc>
        <w:tc>
          <w:tcPr>
            <w:tcW w:w="807" w:type="pct"/>
            <w:vMerge w:val="continue"/>
            <w:shd w:val="clear" w:color="auto" w:fill="auto"/>
            <w:noWrap/>
            <w:tcMar>
              <w:top w:w="10" w:type="dxa"/>
              <w:left w:w="10" w:type="dxa"/>
              <w:right w:w="10" w:type="dxa"/>
            </w:tcMar>
            <w:vAlign w:val="center"/>
          </w:tcPr>
          <w:p>
            <w:pPr>
              <w:widowControl/>
              <w:jc w:val="center"/>
              <w:textAlignment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continue"/>
            <w:shd w:val="clear" w:color="auto" w:fill="auto"/>
            <w:tcMar>
              <w:top w:w="10" w:type="dxa"/>
              <w:left w:w="10" w:type="dxa"/>
              <w:right w:w="10" w:type="dxa"/>
            </w:tcMar>
            <w:vAlign w:val="center"/>
          </w:tcPr>
          <w:p>
            <w:pPr>
              <w:jc w:val="center"/>
              <w:rPr>
                <w:sz w:val="21"/>
                <w:szCs w:val="21"/>
              </w:rPr>
            </w:pP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VOCs</w:t>
            </w:r>
            <w:r>
              <w:rPr>
                <w:rStyle w:val="30"/>
                <w:rFonts w:hint="eastAsia" w:ascii="宋体" w:hAnsi="宋体" w:cs="宋体"/>
                <w:color w:val="auto"/>
                <w:lang w:bidi="ar"/>
              </w:rPr>
              <w:t>走航</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5</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次</w:t>
            </w:r>
            <w:r>
              <w:rPr>
                <w:rStyle w:val="30"/>
                <w:rFonts w:hint="eastAsia" w:ascii="宋体" w:hAnsi="宋体" w:cs="宋体"/>
                <w:color w:val="auto"/>
                <w:lang w:bidi="ar"/>
              </w:rPr>
              <w:t>/年</w:t>
            </w:r>
          </w:p>
        </w:tc>
        <w:tc>
          <w:tcPr>
            <w:tcW w:w="807" w:type="pct"/>
            <w:vMerge w:val="continue"/>
            <w:shd w:val="clear" w:color="auto" w:fill="auto"/>
            <w:noWrap/>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continue"/>
            <w:shd w:val="clear" w:color="auto" w:fill="auto"/>
            <w:tcMar>
              <w:top w:w="10" w:type="dxa"/>
              <w:left w:w="10" w:type="dxa"/>
              <w:right w:w="10" w:type="dxa"/>
            </w:tcMar>
            <w:vAlign w:val="center"/>
          </w:tcPr>
          <w:p>
            <w:pPr>
              <w:jc w:val="center"/>
              <w:rPr>
                <w:sz w:val="21"/>
                <w:szCs w:val="21"/>
              </w:rPr>
            </w:pP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VOCs</w:t>
            </w:r>
            <w:r>
              <w:rPr>
                <w:rStyle w:val="30"/>
                <w:rFonts w:hint="eastAsia" w:ascii="宋体" w:hAnsi="宋体" w:cs="宋体"/>
                <w:color w:val="auto"/>
                <w:lang w:bidi="ar"/>
              </w:rPr>
              <w:t>泄露热成像</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5</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次</w:t>
            </w:r>
            <w:r>
              <w:rPr>
                <w:rStyle w:val="30"/>
                <w:rFonts w:hint="eastAsia" w:ascii="宋体" w:hAnsi="宋体" w:cs="宋体"/>
                <w:color w:val="auto"/>
                <w:lang w:bidi="ar"/>
              </w:rPr>
              <w:t>/年</w:t>
            </w:r>
          </w:p>
        </w:tc>
        <w:tc>
          <w:tcPr>
            <w:tcW w:w="807" w:type="pct"/>
            <w:vMerge w:val="continue"/>
            <w:shd w:val="clear" w:color="auto" w:fill="auto"/>
            <w:noWrap/>
            <w:tcMar>
              <w:top w:w="10" w:type="dxa"/>
              <w:left w:w="10" w:type="dxa"/>
              <w:right w:w="10" w:type="dxa"/>
            </w:tcMar>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664" w:type="pct"/>
            <w:vMerge w:val="continue"/>
            <w:shd w:val="clear" w:color="auto" w:fill="auto"/>
            <w:tcMar>
              <w:top w:w="10" w:type="dxa"/>
              <w:left w:w="10" w:type="dxa"/>
              <w:right w:w="10" w:type="dxa"/>
            </w:tcMar>
            <w:vAlign w:val="center"/>
          </w:tcPr>
          <w:p>
            <w:pPr>
              <w:jc w:val="center"/>
              <w:rPr>
                <w:b/>
                <w:sz w:val="21"/>
                <w:szCs w:val="21"/>
              </w:rPr>
            </w:pPr>
          </w:p>
        </w:tc>
        <w:tc>
          <w:tcPr>
            <w:tcW w:w="935" w:type="pct"/>
            <w:vMerge w:val="continue"/>
            <w:shd w:val="clear" w:color="auto" w:fill="auto"/>
            <w:tcMar>
              <w:top w:w="10" w:type="dxa"/>
              <w:left w:w="10" w:type="dxa"/>
              <w:right w:w="10" w:type="dxa"/>
            </w:tcMar>
            <w:vAlign w:val="center"/>
          </w:tcPr>
          <w:p>
            <w:pPr>
              <w:jc w:val="center"/>
              <w:rPr>
                <w:sz w:val="21"/>
                <w:szCs w:val="21"/>
              </w:rPr>
            </w:pPr>
          </w:p>
        </w:tc>
        <w:tc>
          <w:tcPr>
            <w:tcW w:w="1598"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非甲烷总烃监测</w:t>
            </w:r>
          </w:p>
        </w:tc>
        <w:tc>
          <w:tcPr>
            <w:tcW w:w="407"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5</w:t>
            </w:r>
          </w:p>
        </w:tc>
        <w:tc>
          <w:tcPr>
            <w:tcW w:w="589" w:type="pct"/>
            <w:shd w:val="clear" w:color="auto" w:fill="auto"/>
            <w:tcMar>
              <w:top w:w="10" w:type="dxa"/>
              <w:left w:w="10" w:type="dxa"/>
              <w:right w:w="10" w:type="dxa"/>
            </w:tcMar>
            <w:vAlign w:val="center"/>
          </w:tcPr>
          <w:p>
            <w:pPr>
              <w:widowControl/>
              <w:jc w:val="center"/>
              <w:textAlignment w:val="center"/>
              <w:rPr>
                <w:sz w:val="21"/>
                <w:szCs w:val="21"/>
              </w:rPr>
            </w:pPr>
            <w:r>
              <w:rPr>
                <w:rFonts w:hint="eastAsia"/>
                <w:sz w:val="21"/>
                <w:szCs w:val="21"/>
                <w:lang w:bidi="ar"/>
              </w:rPr>
              <w:t>次</w:t>
            </w:r>
            <w:r>
              <w:rPr>
                <w:rStyle w:val="30"/>
                <w:rFonts w:hint="eastAsia" w:ascii="宋体" w:hAnsi="宋体" w:cs="宋体"/>
                <w:color w:val="auto"/>
                <w:lang w:bidi="ar"/>
              </w:rPr>
              <w:t>/年</w:t>
            </w:r>
          </w:p>
        </w:tc>
        <w:tc>
          <w:tcPr>
            <w:tcW w:w="807" w:type="pct"/>
            <w:vMerge w:val="continue"/>
            <w:shd w:val="clear" w:color="auto" w:fill="auto"/>
            <w:noWrap/>
            <w:tcMar>
              <w:top w:w="10" w:type="dxa"/>
              <w:left w:w="10" w:type="dxa"/>
              <w:right w:w="10" w:type="dxa"/>
            </w:tcMar>
            <w:vAlign w:val="center"/>
          </w:tcPr>
          <w:p>
            <w:pPr>
              <w:jc w:val="center"/>
              <w:rPr>
                <w:sz w:val="21"/>
                <w:szCs w:val="21"/>
              </w:rPr>
            </w:pPr>
          </w:p>
        </w:tc>
      </w:tr>
      <w:bookmarkEnd w:id="22"/>
    </w:tbl>
    <w:p>
      <w:pPr>
        <w:pStyle w:val="26"/>
        <w:spacing w:line="360" w:lineRule="auto"/>
        <w:ind w:left="0" w:firstLine="562" w:firstLineChars="200"/>
        <w:outlineLvl w:val="1"/>
        <w:rPr>
          <w:b/>
          <w:sz w:val="28"/>
        </w:rPr>
      </w:pPr>
      <w:bookmarkStart w:id="23" w:name="_Toc22162"/>
      <w:r>
        <w:rPr>
          <w:rFonts w:hint="eastAsia"/>
          <w:b/>
          <w:sz w:val="28"/>
        </w:rPr>
        <w:t>三、</w:t>
      </w:r>
      <w:r>
        <w:rPr>
          <w:b/>
          <w:sz w:val="28"/>
        </w:rPr>
        <w:t>技术要求</w:t>
      </w:r>
      <w:bookmarkEnd w:id="23"/>
    </w:p>
    <w:p>
      <w:pPr>
        <w:pStyle w:val="26"/>
        <w:autoSpaceDE/>
        <w:autoSpaceDN/>
        <w:spacing w:line="360" w:lineRule="auto"/>
        <w:ind w:left="0" w:firstLineChars="200"/>
        <w:rPr>
          <w:sz w:val="24"/>
          <w:szCs w:val="21"/>
        </w:rPr>
      </w:pPr>
      <w:r>
        <w:rPr>
          <w:rFonts w:hint="eastAsia"/>
          <w:sz w:val="24"/>
          <w:szCs w:val="21"/>
        </w:rPr>
        <w:t xml:space="preserve">3.1 </w:t>
      </w:r>
      <w:r>
        <w:rPr>
          <w:color w:val="121212"/>
          <w:sz w:val="24"/>
          <w:szCs w:val="24"/>
          <w:shd w:val="clear" w:color="auto" w:fill="FFFFFF"/>
        </w:rPr>
        <w:t>大气环境物联监测网络</w:t>
      </w:r>
      <w:r>
        <w:rPr>
          <w:rFonts w:hint="eastAsia"/>
          <w:sz w:val="24"/>
          <w:szCs w:val="21"/>
        </w:rPr>
        <w:t>建设</w:t>
      </w:r>
    </w:p>
    <w:p>
      <w:pPr>
        <w:pStyle w:val="26"/>
        <w:autoSpaceDE/>
        <w:autoSpaceDN/>
        <w:spacing w:line="360" w:lineRule="auto"/>
        <w:ind w:left="0" w:firstLineChars="200"/>
        <w:rPr>
          <w:sz w:val="24"/>
          <w:szCs w:val="21"/>
        </w:rPr>
      </w:pPr>
      <w:r>
        <w:rPr>
          <w:rFonts w:hint="eastAsia"/>
          <w:sz w:val="24"/>
          <w:szCs w:val="21"/>
        </w:rPr>
        <w:t>3.1.1 七参数空气质量微型站</w:t>
      </w:r>
    </w:p>
    <w:p>
      <w:pPr>
        <w:widowControl/>
        <w:autoSpaceDE/>
        <w:autoSpaceDN/>
        <w:spacing w:line="360" w:lineRule="auto"/>
        <w:ind w:firstLine="480" w:firstLineChars="200"/>
        <w:rPr>
          <w:sz w:val="24"/>
          <w:szCs w:val="21"/>
        </w:rPr>
      </w:pPr>
      <w:r>
        <w:rPr>
          <w:rFonts w:hint="eastAsia"/>
          <w:sz w:val="24"/>
          <w:szCs w:val="21"/>
        </w:rPr>
        <w:t>七参数空气质量微型站可在线监测大气环境中</w:t>
      </w:r>
      <w:r>
        <w:rPr>
          <w:rFonts w:hint="eastAsia"/>
          <w:sz w:val="24"/>
          <w:szCs w:val="21"/>
          <w:lang w:bidi="ar"/>
        </w:rPr>
        <w:t>PM</w:t>
      </w:r>
      <w:r>
        <w:rPr>
          <w:rFonts w:hint="eastAsia"/>
          <w:sz w:val="24"/>
          <w:szCs w:val="21"/>
          <w:vertAlign w:val="subscript"/>
          <w:lang w:bidi="ar"/>
        </w:rPr>
        <w:t>10</w:t>
      </w:r>
      <w:r>
        <w:rPr>
          <w:rFonts w:hint="eastAsia"/>
          <w:sz w:val="24"/>
          <w:szCs w:val="21"/>
          <w:lang w:bidi="ar"/>
        </w:rPr>
        <w:t>、</w:t>
      </w:r>
      <w:r>
        <w:rPr>
          <w:rStyle w:val="30"/>
          <w:rFonts w:hint="eastAsia" w:ascii="宋体" w:hAnsi="宋体" w:cs="宋体"/>
          <w:color w:val="auto"/>
          <w:sz w:val="24"/>
          <w:lang w:bidi="ar"/>
        </w:rPr>
        <w:t>PM</w:t>
      </w:r>
      <w:r>
        <w:rPr>
          <w:rStyle w:val="30"/>
          <w:rFonts w:hint="eastAsia" w:ascii="宋体" w:hAnsi="宋体" w:cs="宋体"/>
          <w:color w:val="auto"/>
          <w:sz w:val="24"/>
          <w:vertAlign w:val="subscript"/>
          <w:lang w:bidi="ar"/>
        </w:rPr>
        <w:t>2.5</w:t>
      </w:r>
      <w:r>
        <w:rPr>
          <w:rFonts w:hint="eastAsia"/>
          <w:sz w:val="24"/>
          <w:szCs w:val="21"/>
          <w:lang w:bidi="ar"/>
        </w:rPr>
        <w:t>、</w:t>
      </w:r>
      <w:r>
        <w:rPr>
          <w:rStyle w:val="30"/>
          <w:rFonts w:hint="eastAsia" w:ascii="宋体" w:hAnsi="宋体" w:cs="宋体"/>
          <w:color w:val="auto"/>
          <w:sz w:val="24"/>
          <w:lang w:bidi="ar"/>
        </w:rPr>
        <w:t>SO</w:t>
      </w:r>
      <w:r>
        <w:rPr>
          <w:rStyle w:val="30"/>
          <w:rFonts w:hint="eastAsia" w:ascii="宋体" w:hAnsi="宋体" w:cs="宋体"/>
          <w:color w:val="auto"/>
          <w:sz w:val="24"/>
          <w:vertAlign w:val="subscript"/>
          <w:lang w:bidi="ar"/>
        </w:rPr>
        <w:t>2</w:t>
      </w:r>
      <w:r>
        <w:rPr>
          <w:rFonts w:hint="eastAsia"/>
          <w:sz w:val="24"/>
          <w:szCs w:val="21"/>
          <w:lang w:bidi="ar"/>
        </w:rPr>
        <w:t>、</w:t>
      </w:r>
      <w:r>
        <w:rPr>
          <w:rStyle w:val="30"/>
          <w:rFonts w:hint="eastAsia" w:ascii="宋体" w:hAnsi="宋体" w:cs="宋体"/>
          <w:color w:val="auto"/>
          <w:sz w:val="24"/>
          <w:lang w:bidi="ar"/>
        </w:rPr>
        <w:t>NO</w:t>
      </w:r>
      <w:r>
        <w:rPr>
          <w:rStyle w:val="30"/>
          <w:rFonts w:hint="eastAsia" w:ascii="宋体" w:hAnsi="宋体" w:cs="宋体"/>
          <w:color w:val="auto"/>
          <w:sz w:val="24"/>
          <w:vertAlign w:val="subscript"/>
          <w:lang w:bidi="ar"/>
        </w:rPr>
        <w:t>2</w:t>
      </w:r>
      <w:r>
        <w:rPr>
          <w:rFonts w:hint="eastAsia"/>
          <w:sz w:val="24"/>
          <w:szCs w:val="21"/>
          <w:lang w:bidi="ar"/>
        </w:rPr>
        <w:t>、</w:t>
      </w:r>
      <w:r>
        <w:rPr>
          <w:rStyle w:val="30"/>
          <w:rFonts w:hint="eastAsia" w:ascii="宋体" w:hAnsi="宋体" w:cs="宋体"/>
          <w:color w:val="auto"/>
          <w:sz w:val="24"/>
          <w:lang w:bidi="ar"/>
        </w:rPr>
        <w:t>CO</w:t>
      </w:r>
      <w:r>
        <w:rPr>
          <w:rFonts w:hint="eastAsia"/>
          <w:sz w:val="24"/>
          <w:szCs w:val="21"/>
          <w:lang w:bidi="ar"/>
        </w:rPr>
        <w:t>、</w:t>
      </w:r>
      <w:r>
        <w:rPr>
          <w:rStyle w:val="30"/>
          <w:rFonts w:hint="eastAsia" w:ascii="宋体" w:hAnsi="宋体" w:cs="宋体"/>
          <w:color w:val="auto"/>
          <w:sz w:val="24"/>
          <w:lang w:bidi="ar"/>
        </w:rPr>
        <w:t>O</w:t>
      </w:r>
      <w:r>
        <w:rPr>
          <w:rStyle w:val="30"/>
          <w:rFonts w:hint="eastAsia" w:ascii="宋体" w:hAnsi="宋体" w:cs="宋体"/>
          <w:color w:val="auto"/>
          <w:sz w:val="24"/>
          <w:vertAlign w:val="subscript"/>
          <w:lang w:bidi="ar"/>
        </w:rPr>
        <w:t>3</w:t>
      </w:r>
      <w:r>
        <w:rPr>
          <w:rFonts w:hint="eastAsia"/>
          <w:sz w:val="24"/>
          <w:szCs w:val="21"/>
          <w:lang w:bidi="ar"/>
        </w:rPr>
        <w:t>、T</w:t>
      </w:r>
      <w:r>
        <w:rPr>
          <w:rStyle w:val="30"/>
          <w:rFonts w:hint="eastAsia" w:ascii="宋体" w:hAnsi="宋体" w:cs="宋体"/>
          <w:color w:val="auto"/>
          <w:sz w:val="24"/>
          <w:lang w:bidi="ar"/>
        </w:rPr>
        <w:t>VOC</w:t>
      </w:r>
      <w:r>
        <w:rPr>
          <w:rFonts w:hint="eastAsia"/>
          <w:sz w:val="24"/>
          <w:szCs w:val="21"/>
        </w:rPr>
        <w:t>。</w:t>
      </w:r>
    </w:p>
    <w:p>
      <w:pPr>
        <w:autoSpaceDE/>
        <w:autoSpaceDN/>
        <w:spacing w:line="360" w:lineRule="auto"/>
        <w:ind w:firstLine="480" w:firstLineChars="200"/>
        <w:rPr>
          <w:sz w:val="24"/>
          <w:szCs w:val="21"/>
        </w:rPr>
      </w:pPr>
      <w:r>
        <w:rPr>
          <w:rFonts w:hint="eastAsia"/>
          <w:sz w:val="24"/>
          <w:szCs w:val="21"/>
        </w:rPr>
        <w:t>微型站设备基于有线、无线通讯技术，具有GPS定位，应能与服务器之间保密安全的通讯，将监测数据汇集到“云平台”。</w:t>
      </w:r>
    </w:p>
    <w:p>
      <w:pPr>
        <w:autoSpaceDE/>
        <w:autoSpaceDN/>
        <w:spacing w:line="360" w:lineRule="auto"/>
        <w:ind w:firstLine="480" w:firstLineChars="200"/>
        <w:rPr>
          <w:sz w:val="24"/>
          <w:szCs w:val="21"/>
        </w:rPr>
      </w:pPr>
      <w:r>
        <w:rPr>
          <w:rFonts w:hint="eastAsia"/>
          <w:sz w:val="24"/>
          <w:szCs w:val="21"/>
        </w:rPr>
        <w:t>通过微型站高密度布点，结合云计算平台，可实时掌握区域内污染物的时空分布，发现重点污染源，找到合理的减排点，实行精准管理。</w:t>
      </w:r>
    </w:p>
    <w:p>
      <w:pPr>
        <w:widowControl/>
        <w:autoSpaceDE/>
        <w:autoSpaceDN/>
        <w:spacing w:line="360" w:lineRule="auto"/>
        <w:ind w:firstLine="480" w:firstLineChars="200"/>
        <w:rPr>
          <w:sz w:val="24"/>
          <w:szCs w:val="21"/>
        </w:rPr>
      </w:pPr>
      <w:r>
        <w:rPr>
          <w:rFonts w:hint="eastAsia"/>
          <w:sz w:val="24"/>
          <w:szCs w:val="21"/>
        </w:rPr>
        <w:t>主要技术指标：</w:t>
      </w:r>
    </w:p>
    <w:tbl>
      <w:tblPr>
        <w:tblStyle w:val="21"/>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6" w:type="pct"/>
            <w:noWrap/>
            <w:vAlign w:val="center"/>
          </w:tcPr>
          <w:p>
            <w:pPr>
              <w:snapToGrid w:val="0"/>
              <w:jc w:val="center"/>
              <w:rPr>
                <w:sz w:val="21"/>
                <w:szCs w:val="21"/>
              </w:rPr>
            </w:pPr>
            <w:r>
              <w:rPr>
                <w:rFonts w:hint="eastAsia"/>
                <w:sz w:val="21"/>
                <w:szCs w:val="21"/>
              </w:rPr>
              <w:t>名称</w:t>
            </w:r>
          </w:p>
        </w:tc>
        <w:tc>
          <w:tcPr>
            <w:tcW w:w="3854" w:type="pct"/>
            <w:noWrap/>
            <w:vAlign w:val="center"/>
          </w:tcPr>
          <w:p>
            <w:pPr>
              <w:snapToGrid w:val="0"/>
              <w:jc w:val="center"/>
              <w:rPr>
                <w:sz w:val="21"/>
                <w:szCs w:val="21"/>
              </w:rPr>
            </w:pPr>
            <w:r>
              <w:rPr>
                <w:rFonts w:hint="eastAsia"/>
                <w:sz w:val="21"/>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146" w:type="pct"/>
            <w:noWrap/>
            <w:vAlign w:val="center"/>
          </w:tcPr>
          <w:p>
            <w:pPr>
              <w:snapToGrid w:val="0"/>
              <w:jc w:val="center"/>
              <w:rPr>
                <w:sz w:val="21"/>
                <w:szCs w:val="21"/>
              </w:rPr>
            </w:pPr>
            <w:r>
              <w:rPr>
                <w:rFonts w:hint="eastAsia"/>
                <w:sz w:val="21"/>
                <w:szCs w:val="21"/>
              </w:rPr>
              <w:t>监测参数</w:t>
            </w:r>
          </w:p>
        </w:tc>
        <w:tc>
          <w:tcPr>
            <w:tcW w:w="3854" w:type="pct"/>
            <w:noWrap/>
            <w:vAlign w:val="center"/>
          </w:tcPr>
          <w:p>
            <w:pPr>
              <w:snapToGrid w:val="0"/>
              <w:jc w:val="center"/>
              <w:rPr>
                <w:sz w:val="21"/>
                <w:szCs w:val="21"/>
              </w:rPr>
            </w:pPr>
            <w:r>
              <w:rPr>
                <w:rFonts w:hint="eastAsia"/>
                <w:sz w:val="21"/>
                <w:szCs w:val="21"/>
                <w:lang w:bidi="ar"/>
              </w:rPr>
              <w:t>PM</w:t>
            </w:r>
            <w:r>
              <w:rPr>
                <w:rFonts w:hint="eastAsia"/>
                <w:sz w:val="21"/>
                <w:szCs w:val="21"/>
                <w:vertAlign w:val="subscript"/>
                <w:lang w:bidi="ar"/>
              </w:rPr>
              <w:t>10</w:t>
            </w:r>
            <w:r>
              <w:rPr>
                <w:rFonts w:hint="eastAsia"/>
                <w:sz w:val="21"/>
                <w:szCs w:val="21"/>
                <w:lang w:bidi="ar"/>
              </w:rPr>
              <w:t>、</w:t>
            </w:r>
            <w:r>
              <w:rPr>
                <w:rStyle w:val="30"/>
                <w:rFonts w:hint="eastAsia" w:ascii="宋体" w:hAnsi="宋体" w:cs="宋体"/>
                <w:color w:val="auto"/>
                <w:lang w:bidi="ar"/>
              </w:rPr>
              <w:t>PM</w:t>
            </w:r>
            <w:r>
              <w:rPr>
                <w:rStyle w:val="30"/>
                <w:rFonts w:hint="eastAsia" w:ascii="宋体" w:hAnsi="宋体" w:cs="宋体"/>
                <w:color w:val="auto"/>
                <w:vertAlign w:val="subscript"/>
                <w:lang w:bidi="ar"/>
              </w:rPr>
              <w:t>2.5</w:t>
            </w:r>
            <w:r>
              <w:rPr>
                <w:rFonts w:hint="eastAsia"/>
                <w:sz w:val="21"/>
                <w:szCs w:val="21"/>
                <w:lang w:bidi="ar"/>
              </w:rPr>
              <w:t>、</w:t>
            </w:r>
            <w:r>
              <w:rPr>
                <w:rStyle w:val="30"/>
                <w:rFonts w:hint="eastAsia" w:ascii="宋体" w:hAnsi="宋体" w:cs="宋体"/>
                <w:color w:val="auto"/>
                <w:lang w:bidi="ar"/>
              </w:rPr>
              <w:t>SO</w:t>
            </w:r>
            <w:r>
              <w:rPr>
                <w:rStyle w:val="30"/>
                <w:rFonts w:hint="eastAsia" w:ascii="宋体" w:hAnsi="宋体" w:cs="宋体"/>
                <w:color w:val="auto"/>
                <w:vertAlign w:val="subscript"/>
                <w:lang w:bidi="ar"/>
              </w:rPr>
              <w:t>2</w:t>
            </w:r>
            <w:r>
              <w:rPr>
                <w:rFonts w:hint="eastAsia"/>
                <w:sz w:val="21"/>
                <w:szCs w:val="21"/>
                <w:lang w:bidi="ar"/>
              </w:rPr>
              <w:t>、</w:t>
            </w:r>
            <w:r>
              <w:rPr>
                <w:rStyle w:val="30"/>
                <w:rFonts w:hint="eastAsia" w:ascii="宋体" w:hAnsi="宋体" w:cs="宋体"/>
                <w:color w:val="auto"/>
                <w:lang w:bidi="ar"/>
              </w:rPr>
              <w:t>NO</w:t>
            </w:r>
            <w:r>
              <w:rPr>
                <w:rStyle w:val="30"/>
                <w:rFonts w:hint="eastAsia" w:ascii="宋体" w:hAnsi="宋体" w:cs="宋体"/>
                <w:color w:val="auto"/>
                <w:vertAlign w:val="subscript"/>
                <w:lang w:bidi="ar"/>
              </w:rPr>
              <w:t>2</w:t>
            </w:r>
            <w:r>
              <w:rPr>
                <w:rFonts w:hint="eastAsia"/>
                <w:sz w:val="21"/>
                <w:szCs w:val="21"/>
                <w:lang w:bidi="ar"/>
              </w:rPr>
              <w:t>、</w:t>
            </w:r>
            <w:r>
              <w:rPr>
                <w:rStyle w:val="30"/>
                <w:rFonts w:hint="eastAsia" w:ascii="宋体" w:hAnsi="宋体" w:cs="宋体"/>
                <w:color w:val="auto"/>
                <w:lang w:bidi="ar"/>
              </w:rPr>
              <w:t>CO</w:t>
            </w:r>
            <w:r>
              <w:rPr>
                <w:rFonts w:hint="eastAsia"/>
                <w:sz w:val="21"/>
                <w:szCs w:val="21"/>
                <w:lang w:bidi="ar"/>
              </w:rPr>
              <w:t>、</w:t>
            </w:r>
            <w:r>
              <w:rPr>
                <w:rStyle w:val="30"/>
                <w:rFonts w:hint="eastAsia" w:ascii="宋体" w:hAnsi="宋体" w:cs="宋体"/>
                <w:color w:val="auto"/>
                <w:lang w:bidi="ar"/>
              </w:rPr>
              <w:t>O</w:t>
            </w:r>
            <w:r>
              <w:rPr>
                <w:rStyle w:val="30"/>
                <w:rFonts w:hint="eastAsia" w:ascii="宋体" w:hAnsi="宋体" w:cs="宋体"/>
                <w:color w:val="auto"/>
                <w:vertAlign w:val="subscript"/>
                <w:lang w:bidi="ar"/>
              </w:rPr>
              <w:t>3</w:t>
            </w:r>
            <w:r>
              <w:rPr>
                <w:rFonts w:hint="eastAsia"/>
                <w:sz w:val="21"/>
                <w:szCs w:val="21"/>
                <w:lang w:bidi="ar"/>
              </w:rPr>
              <w:t>、T</w:t>
            </w:r>
            <w:r>
              <w:rPr>
                <w:rStyle w:val="30"/>
                <w:rFonts w:hint="eastAsia" w:ascii="宋体" w:hAnsi="宋体" w:cs="宋体"/>
                <w:color w:val="auto"/>
                <w:lang w:bidi="ar"/>
              </w:rPr>
              <w:t>VOC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146" w:type="pct"/>
            <w:noWrap/>
            <w:vAlign w:val="center"/>
          </w:tcPr>
          <w:p>
            <w:pPr>
              <w:snapToGrid w:val="0"/>
              <w:jc w:val="center"/>
              <w:rPr>
                <w:sz w:val="21"/>
                <w:szCs w:val="21"/>
              </w:rPr>
            </w:pPr>
            <w:r>
              <w:rPr>
                <w:rFonts w:hint="eastAsia"/>
                <w:sz w:val="21"/>
                <w:szCs w:val="21"/>
              </w:rPr>
              <w:t>时间分辨率</w:t>
            </w:r>
          </w:p>
        </w:tc>
        <w:tc>
          <w:tcPr>
            <w:tcW w:w="3854" w:type="pct"/>
            <w:noWrap/>
            <w:vAlign w:val="center"/>
          </w:tcPr>
          <w:p>
            <w:pPr>
              <w:snapToGrid w:val="0"/>
              <w:jc w:val="center"/>
              <w:rPr>
                <w:sz w:val="21"/>
                <w:szCs w:val="21"/>
              </w:rPr>
            </w:pPr>
            <w:r>
              <w:rPr>
                <w:rFonts w:hint="eastAsia"/>
                <w:sz w:val="21"/>
                <w:szCs w:val="21"/>
              </w:rPr>
              <w:t>≤60s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pct"/>
            <w:noWrap/>
            <w:vAlign w:val="center"/>
          </w:tcPr>
          <w:p>
            <w:pPr>
              <w:snapToGrid w:val="0"/>
              <w:jc w:val="center"/>
              <w:rPr>
                <w:sz w:val="21"/>
                <w:szCs w:val="21"/>
              </w:rPr>
            </w:pPr>
            <w:r>
              <w:rPr>
                <w:rFonts w:hint="eastAsia"/>
                <w:sz w:val="21"/>
                <w:szCs w:val="21"/>
              </w:rPr>
              <w:t>电源</w:t>
            </w:r>
          </w:p>
        </w:tc>
        <w:tc>
          <w:tcPr>
            <w:tcW w:w="3854" w:type="pct"/>
            <w:noWrap/>
            <w:vAlign w:val="center"/>
          </w:tcPr>
          <w:p>
            <w:pPr>
              <w:snapToGrid w:val="0"/>
              <w:rPr>
                <w:sz w:val="21"/>
                <w:szCs w:val="21"/>
              </w:rPr>
            </w:pPr>
            <w:r>
              <w:rPr>
                <w:rFonts w:hint="eastAsia"/>
                <w:sz w:val="21"/>
                <w:szCs w:val="21"/>
              </w:rPr>
              <w:t>市政（220V）供电或太阳能供电（12V)两种供电方式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6" w:type="pct"/>
            <w:noWrap/>
            <w:vAlign w:val="center"/>
          </w:tcPr>
          <w:p>
            <w:pPr>
              <w:snapToGrid w:val="0"/>
              <w:jc w:val="center"/>
              <w:rPr>
                <w:sz w:val="21"/>
                <w:szCs w:val="21"/>
              </w:rPr>
            </w:pPr>
            <w:r>
              <w:rPr>
                <w:rFonts w:hint="eastAsia"/>
                <w:sz w:val="21"/>
                <w:szCs w:val="21"/>
              </w:rPr>
              <w:t>工作环境</w:t>
            </w:r>
          </w:p>
        </w:tc>
        <w:tc>
          <w:tcPr>
            <w:tcW w:w="3854" w:type="pct"/>
            <w:noWrap/>
            <w:vAlign w:val="center"/>
          </w:tcPr>
          <w:p>
            <w:pPr>
              <w:snapToGrid w:val="0"/>
              <w:rPr>
                <w:sz w:val="21"/>
                <w:szCs w:val="21"/>
              </w:rPr>
            </w:pPr>
            <w:r>
              <w:rPr>
                <w:rFonts w:hint="eastAsia"/>
                <w:sz w:val="21"/>
                <w:szCs w:val="21"/>
              </w:rPr>
              <w:t>T(-20-55)℃、RH(15%-95%)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46" w:type="pct"/>
            <w:noWrap/>
            <w:vAlign w:val="center"/>
          </w:tcPr>
          <w:p>
            <w:pPr>
              <w:snapToGrid w:val="0"/>
              <w:jc w:val="center"/>
              <w:rPr>
                <w:sz w:val="21"/>
                <w:szCs w:val="21"/>
              </w:rPr>
            </w:pPr>
            <w:r>
              <w:rPr>
                <w:rFonts w:hint="eastAsia"/>
                <w:sz w:val="21"/>
                <w:szCs w:val="21"/>
              </w:rPr>
              <w:t>通讯方式</w:t>
            </w:r>
          </w:p>
        </w:tc>
        <w:tc>
          <w:tcPr>
            <w:tcW w:w="3854" w:type="pct"/>
            <w:noWrap/>
            <w:vAlign w:val="center"/>
          </w:tcPr>
          <w:p>
            <w:pPr>
              <w:snapToGrid w:val="0"/>
              <w:rPr>
                <w:sz w:val="21"/>
                <w:szCs w:val="21"/>
              </w:rPr>
            </w:pPr>
            <w:r>
              <w:rPr>
                <w:rFonts w:hint="eastAsia"/>
                <w:sz w:val="21"/>
                <w:szCs w:val="21"/>
              </w:rPr>
              <w:t>4G无线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46" w:type="pct"/>
            <w:noWrap/>
            <w:vAlign w:val="center"/>
          </w:tcPr>
          <w:p>
            <w:pPr>
              <w:snapToGrid w:val="0"/>
              <w:jc w:val="center"/>
              <w:rPr>
                <w:sz w:val="21"/>
                <w:szCs w:val="21"/>
              </w:rPr>
            </w:pPr>
            <w:r>
              <w:rPr>
                <w:rFonts w:hint="eastAsia"/>
                <w:sz w:val="21"/>
                <w:szCs w:val="21"/>
              </w:rPr>
              <w:t>电池</w:t>
            </w:r>
          </w:p>
        </w:tc>
        <w:tc>
          <w:tcPr>
            <w:tcW w:w="3854" w:type="pct"/>
            <w:noWrap/>
            <w:vAlign w:val="center"/>
          </w:tcPr>
          <w:p>
            <w:pPr>
              <w:snapToGrid w:val="0"/>
              <w:rPr>
                <w:sz w:val="21"/>
                <w:szCs w:val="21"/>
              </w:rPr>
            </w:pPr>
            <w:r>
              <w:rPr>
                <w:rFonts w:hint="eastAsia"/>
                <w:sz w:val="21"/>
                <w:szCs w:val="21"/>
              </w:rPr>
              <w:t>铅酸蓄电池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6" w:type="pct"/>
            <w:noWrap/>
            <w:vAlign w:val="center"/>
          </w:tcPr>
          <w:p>
            <w:pPr>
              <w:snapToGrid w:val="0"/>
              <w:jc w:val="center"/>
              <w:rPr>
                <w:sz w:val="21"/>
                <w:szCs w:val="21"/>
              </w:rPr>
            </w:pPr>
            <w:r>
              <w:rPr>
                <w:rFonts w:hint="eastAsia"/>
                <w:sz w:val="21"/>
                <w:szCs w:val="21"/>
              </w:rPr>
              <w:t>工作时间</w:t>
            </w:r>
          </w:p>
        </w:tc>
        <w:tc>
          <w:tcPr>
            <w:tcW w:w="3854" w:type="pct"/>
            <w:noWrap/>
            <w:vAlign w:val="center"/>
          </w:tcPr>
          <w:p>
            <w:pPr>
              <w:snapToGrid w:val="0"/>
              <w:rPr>
                <w:sz w:val="21"/>
                <w:szCs w:val="21"/>
              </w:rPr>
            </w:pPr>
            <w:r>
              <w:rPr>
                <w:rFonts w:hint="eastAsia"/>
                <w:sz w:val="21"/>
                <w:szCs w:val="21"/>
              </w:rPr>
              <w:t>无外接电源连续工作30天（视频除外）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46" w:type="pct"/>
            <w:noWrap/>
            <w:vAlign w:val="center"/>
          </w:tcPr>
          <w:p>
            <w:pPr>
              <w:snapToGrid w:val="0"/>
              <w:jc w:val="center"/>
              <w:rPr>
                <w:sz w:val="21"/>
                <w:szCs w:val="21"/>
              </w:rPr>
            </w:pPr>
            <w:r>
              <w:rPr>
                <w:rFonts w:hint="eastAsia"/>
                <w:sz w:val="21"/>
                <w:szCs w:val="21"/>
              </w:rPr>
              <w:t>储存环境</w:t>
            </w:r>
          </w:p>
        </w:tc>
        <w:tc>
          <w:tcPr>
            <w:tcW w:w="3854" w:type="pct"/>
            <w:noWrap/>
            <w:vAlign w:val="center"/>
          </w:tcPr>
          <w:p>
            <w:pPr>
              <w:snapToGrid w:val="0"/>
              <w:rPr>
                <w:sz w:val="21"/>
                <w:szCs w:val="21"/>
              </w:rPr>
            </w:pPr>
            <w:r>
              <w:rPr>
                <w:rFonts w:hint="eastAsia"/>
                <w:sz w:val="21"/>
                <w:szCs w:val="21"/>
              </w:rPr>
              <w:t>-20℃-50℃、＜90%RH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6" w:type="pct"/>
            <w:noWrap/>
            <w:vAlign w:val="center"/>
          </w:tcPr>
          <w:p>
            <w:pPr>
              <w:snapToGrid w:val="0"/>
              <w:jc w:val="center"/>
              <w:rPr>
                <w:sz w:val="21"/>
                <w:szCs w:val="21"/>
              </w:rPr>
            </w:pPr>
            <w:r>
              <w:rPr>
                <w:rFonts w:hint="eastAsia"/>
                <w:sz w:val="21"/>
                <w:szCs w:val="21"/>
              </w:rPr>
              <w:t>数据传输</w:t>
            </w:r>
          </w:p>
        </w:tc>
        <w:tc>
          <w:tcPr>
            <w:tcW w:w="3854" w:type="pct"/>
            <w:noWrap/>
            <w:vAlign w:val="center"/>
          </w:tcPr>
          <w:p>
            <w:pPr>
              <w:snapToGrid w:val="0"/>
              <w:rPr>
                <w:sz w:val="21"/>
                <w:szCs w:val="21"/>
              </w:rPr>
            </w:pPr>
            <w:r>
              <w:rPr>
                <w:rFonts w:hint="eastAsia"/>
                <w:sz w:val="21"/>
                <w:szCs w:val="21"/>
              </w:rPr>
              <w:t>实时传输，具备断网补传功能</w:t>
            </w:r>
          </w:p>
        </w:tc>
      </w:tr>
    </w:tbl>
    <w:p>
      <w:pPr>
        <w:snapToGrid w:val="0"/>
        <w:spacing w:line="312" w:lineRule="auto"/>
        <w:rPr>
          <w:szCs w:val="21"/>
        </w:rPr>
      </w:pPr>
    </w:p>
    <w:tbl>
      <w:tblPr>
        <w:tblStyle w:val="21"/>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114"/>
        <w:gridCol w:w="1860"/>
        <w:gridCol w:w="2367"/>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widowControl/>
              <w:jc w:val="center"/>
              <w:rPr>
                <w:sz w:val="21"/>
                <w:szCs w:val="21"/>
              </w:rPr>
            </w:pPr>
            <w:r>
              <w:rPr>
                <w:rFonts w:hint="eastAsia"/>
                <w:sz w:val="21"/>
                <w:szCs w:val="21"/>
              </w:rPr>
              <w:t>颗粒物性能指标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Align w:val="center"/>
          </w:tcPr>
          <w:p>
            <w:pPr>
              <w:widowControl/>
              <w:jc w:val="center"/>
              <w:rPr>
                <w:sz w:val="21"/>
                <w:szCs w:val="21"/>
              </w:rPr>
            </w:pPr>
            <w:r>
              <w:rPr>
                <w:rFonts w:hint="eastAsia"/>
                <w:sz w:val="21"/>
                <w:szCs w:val="21"/>
              </w:rPr>
              <w:t>序号</w:t>
            </w:r>
          </w:p>
        </w:tc>
        <w:tc>
          <w:tcPr>
            <w:tcW w:w="1620" w:type="pct"/>
            <w:gridSpan w:val="2"/>
            <w:vAlign w:val="center"/>
          </w:tcPr>
          <w:p>
            <w:pPr>
              <w:widowControl/>
              <w:jc w:val="center"/>
              <w:rPr>
                <w:sz w:val="21"/>
                <w:szCs w:val="21"/>
              </w:rPr>
            </w:pPr>
            <w:r>
              <w:rPr>
                <w:rFonts w:hint="eastAsia"/>
                <w:sz w:val="21"/>
                <w:szCs w:val="21"/>
              </w:rPr>
              <w:t>项目</w:t>
            </w:r>
          </w:p>
        </w:tc>
        <w:tc>
          <w:tcPr>
            <w:tcW w:w="1289" w:type="pct"/>
            <w:vAlign w:val="center"/>
          </w:tcPr>
          <w:p>
            <w:pPr>
              <w:widowControl/>
              <w:jc w:val="center"/>
              <w:rPr>
                <w:sz w:val="21"/>
                <w:szCs w:val="21"/>
              </w:rPr>
            </w:pPr>
            <w:r>
              <w:rPr>
                <w:rFonts w:hint="eastAsia"/>
                <w:sz w:val="21"/>
                <w:szCs w:val="21"/>
              </w:rPr>
              <w:t>PM2.5</w:t>
            </w:r>
          </w:p>
        </w:tc>
        <w:tc>
          <w:tcPr>
            <w:tcW w:w="1375" w:type="pct"/>
            <w:vAlign w:val="center"/>
          </w:tcPr>
          <w:p>
            <w:pPr>
              <w:widowControl/>
              <w:jc w:val="center"/>
              <w:rPr>
                <w:sz w:val="21"/>
                <w:szCs w:val="21"/>
              </w:rPr>
            </w:pPr>
            <w:r>
              <w:rPr>
                <w:rFonts w:hint="eastAsia"/>
                <w:sz w:val="21"/>
                <w:szCs w:val="21"/>
              </w:rPr>
              <w:t>PM10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Align w:val="center"/>
          </w:tcPr>
          <w:p>
            <w:pPr>
              <w:widowControl/>
              <w:jc w:val="center"/>
              <w:rPr>
                <w:sz w:val="21"/>
                <w:szCs w:val="21"/>
              </w:rPr>
            </w:pPr>
            <w:r>
              <w:rPr>
                <w:rFonts w:hint="eastAsia"/>
                <w:sz w:val="21"/>
                <w:szCs w:val="21"/>
              </w:rPr>
              <w:t>1</w:t>
            </w:r>
          </w:p>
        </w:tc>
        <w:tc>
          <w:tcPr>
            <w:tcW w:w="1620" w:type="pct"/>
            <w:gridSpan w:val="2"/>
            <w:vAlign w:val="center"/>
          </w:tcPr>
          <w:p>
            <w:pPr>
              <w:widowControl/>
              <w:jc w:val="center"/>
              <w:rPr>
                <w:sz w:val="21"/>
                <w:szCs w:val="21"/>
              </w:rPr>
            </w:pPr>
            <w:r>
              <w:rPr>
                <w:rFonts w:hint="eastAsia"/>
                <w:sz w:val="21"/>
                <w:szCs w:val="21"/>
              </w:rPr>
              <w:t>测量范围</w:t>
            </w:r>
          </w:p>
        </w:tc>
        <w:tc>
          <w:tcPr>
            <w:tcW w:w="1289" w:type="pct"/>
          </w:tcPr>
          <w:p>
            <w:pPr>
              <w:widowControl/>
              <w:jc w:val="center"/>
              <w:rPr>
                <w:sz w:val="21"/>
                <w:szCs w:val="21"/>
              </w:rPr>
            </w:pPr>
            <w:r>
              <w:rPr>
                <w:rFonts w:hint="eastAsia"/>
                <w:sz w:val="21"/>
                <w:szCs w:val="21"/>
              </w:rPr>
              <w:t>（0～2000）μg/m3</w:t>
            </w:r>
          </w:p>
        </w:tc>
        <w:tc>
          <w:tcPr>
            <w:tcW w:w="1375" w:type="pct"/>
            <w:vAlign w:val="center"/>
          </w:tcPr>
          <w:p>
            <w:pPr>
              <w:widowControl/>
              <w:jc w:val="center"/>
              <w:rPr>
                <w:sz w:val="21"/>
                <w:szCs w:val="21"/>
              </w:rPr>
            </w:pPr>
            <w:r>
              <w:rPr>
                <w:rFonts w:hint="eastAsia"/>
                <w:sz w:val="21"/>
                <w:szCs w:val="21"/>
              </w:rPr>
              <w:t>（0～2000）μg/m3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Align w:val="center"/>
          </w:tcPr>
          <w:p>
            <w:pPr>
              <w:widowControl/>
              <w:jc w:val="center"/>
              <w:rPr>
                <w:sz w:val="21"/>
                <w:szCs w:val="21"/>
              </w:rPr>
            </w:pPr>
            <w:r>
              <w:rPr>
                <w:rFonts w:hint="eastAsia"/>
                <w:sz w:val="21"/>
                <w:szCs w:val="21"/>
              </w:rPr>
              <w:t>2</w:t>
            </w:r>
          </w:p>
        </w:tc>
        <w:tc>
          <w:tcPr>
            <w:tcW w:w="1620" w:type="pct"/>
            <w:gridSpan w:val="2"/>
            <w:vAlign w:val="center"/>
          </w:tcPr>
          <w:p>
            <w:pPr>
              <w:widowControl/>
              <w:jc w:val="center"/>
              <w:rPr>
                <w:sz w:val="21"/>
                <w:szCs w:val="21"/>
              </w:rPr>
            </w:pPr>
            <w:r>
              <w:rPr>
                <w:rFonts w:hint="eastAsia"/>
                <w:sz w:val="21"/>
                <w:szCs w:val="21"/>
              </w:rPr>
              <w:t>最小分辨率</w:t>
            </w:r>
          </w:p>
        </w:tc>
        <w:tc>
          <w:tcPr>
            <w:tcW w:w="1289" w:type="pct"/>
          </w:tcPr>
          <w:p>
            <w:pPr>
              <w:widowControl/>
              <w:jc w:val="center"/>
              <w:rPr>
                <w:sz w:val="21"/>
                <w:szCs w:val="21"/>
              </w:rPr>
            </w:pPr>
            <w:r>
              <w:rPr>
                <w:rFonts w:hint="eastAsia"/>
                <w:sz w:val="21"/>
                <w:szCs w:val="21"/>
              </w:rPr>
              <w:t>1μg/m3</w:t>
            </w:r>
          </w:p>
        </w:tc>
        <w:tc>
          <w:tcPr>
            <w:tcW w:w="1375" w:type="pct"/>
            <w:vAlign w:val="center"/>
          </w:tcPr>
          <w:p>
            <w:pPr>
              <w:widowControl/>
              <w:jc w:val="center"/>
              <w:rPr>
                <w:sz w:val="21"/>
                <w:szCs w:val="21"/>
              </w:rPr>
            </w:pPr>
            <w:r>
              <w:rPr>
                <w:rFonts w:hint="eastAsia"/>
                <w:sz w:val="21"/>
                <w:szCs w:val="21"/>
              </w:rPr>
              <w:t>1μg/m3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Align w:val="center"/>
          </w:tcPr>
          <w:p>
            <w:pPr>
              <w:widowControl/>
              <w:jc w:val="center"/>
              <w:rPr>
                <w:sz w:val="21"/>
                <w:szCs w:val="21"/>
              </w:rPr>
            </w:pPr>
            <w:r>
              <w:rPr>
                <w:rFonts w:hint="eastAsia"/>
                <w:sz w:val="21"/>
                <w:szCs w:val="21"/>
              </w:rPr>
              <w:t>3</w:t>
            </w:r>
          </w:p>
        </w:tc>
        <w:tc>
          <w:tcPr>
            <w:tcW w:w="1620" w:type="pct"/>
            <w:gridSpan w:val="2"/>
            <w:vAlign w:val="center"/>
          </w:tcPr>
          <w:p>
            <w:pPr>
              <w:widowControl/>
              <w:jc w:val="center"/>
              <w:rPr>
                <w:sz w:val="21"/>
                <w:szCs w:val="21"/>
              </w:rPr>
            </w:pPr>
            <w:r>
              <w:rPr>
                <w:rFonts w:hint="eastAsia"/>
                <w:sz w:val="21"/>
                <w:szCs w:val="21"/>
              </w:rPr>
              <w:t>检出限</w:t>
            </w:r>
          </w:p>
        </w:tc>
        <w:tc>
          <w:tcPr>
            <w:tcW w:w="1289" w:type="pct"/>
          </w:tcPr>
          <w:p>
            <w:pPr>
              <w:widowControl/>
              <w:jc w:val="center"/>
              <w:rPr>
                <w:sz w:val="21"/>
                <w:szCs w:val="21"/>
              </w:rPr>
            </w:pPr>
            <w:r>
              <w:rPr>
                <w:rFonts w:hint="eastAsia"/>
                <w:sz w:val="21"/>
                <w:szCs w:val="21"/>
              </w:rPr>
              <w:t>3μg/m3</w:t>
            </w:r>
          </w:p>
        </w:tc>
        <w:tc>
          <w:tcPr>
            <w:tcW w:w="1375" w:type="pct"/>
            <w:vAlign w:val="center"/>
          </w:tcPr>
          <w:p>
            <w:pPr>
              <w:widowControl/>
              <w:jc w:val="center"/>
              <w:rPr>
                <w:sz w:val="21"/>
                <w:szCs w:val="21"/>
              </w:rPr>
            </w:pPr>
            <w:r>
              <w:rPr>
                <w:rFonts w:hint="eastAsia"/>
                <w:sz w:val="21"/>
                <w:szCs w:val="21"/>
              </w:rPr>
              <w:t>5μg/m3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restart"/>
            <w:vAlign w:val="center"/>
          </w:tcPr>
          <w:p>
            <w:pPr>
              <w:widowControl/>
              <w:jc w:val="center"/>
              <w:rPr>
                <w:sz w:val="21"/>
                <w:szCs w:val="21"/>
              </w:rPr>
            </w:pPr>
            <w:r>
              <w:rPr>
                <w:rFonts w:hint="eastAsia"/>
                <w:sz w:val="21"/>
                <w:szCs w:val="21"/>
              </w:rPr>
              <w:t>4</w:t>
            </w:r>
          </w:p>
        </w:tc>
        <w:tc>
          <w:tcPr>
            <w:tcW w:w="607" w:type="pct"/>
            <w:vMerge w:val="restart"/>
            <w:vAlign w:val="center"/>
          </w:tcPr>
          <w:p>
            <w:pPr>
              <w:widowControl/>
              <w:jc w:val="center"/>
              <w:rPr>
                <w:sz w:val="21"/>
                <w:szCs w:val="21"/>
              </w:rPr>
            </w:pPr>
            <w:r>
              <w:rPr>
                <w:rFonts w:hint="eastAsia"/>
                <w:sz w:val="21"/>
                <w:szCs w:val="21"/>
              </w:rPr>
              <w:t>比对测量误差</w:t>
            </w:r>
          </w:p>
        </w:tc>
        <w:tc>
          <w:tcPr>
            <w:tcW w:w="1013" w:type="pct"/>
            <w:vAlign w:val="center"/>
          </w:tcPr>
          <w:p>
            <w:pPr>
              <w:widowControl/>
              <w:jc w:val="center"/>
              <w:rPr>
                <w:sz w:val="21"/>
                <w:szCs w:val="21"/>
              </w:rPr>
            </w:pPr>
            <w:r>
              <w:rPr>
                <w:rFonts w:hint="eastAsia"/>
                <w:sz w:val="21"/>
                <w:szCs w:val="21"/>
              </w:rPr>
              <w:t>（0～100）μg/m3</w:t>
            </w:r>
          </w:p>
        </w:tc>
        <w:tc>
          <w:tcPr>
            <w:tcW w:w="1289" w:type="pct"/>
            <w:vAlign w:val="center"/>
          </w:tcPr>
          <w:p>
            <w:pPr>
              <w:widowControl/>
              <w:jc w:val="center"/>
              <w:rPr>
                <w:sz w:val="21"/>
                <w:szCs w:val="21"/>
              </w:rPr>
            </w:pPr>
            <w:r>
              <w:rPr>
                <w:rFonts w:hint="eastAsia"/>
                <w:sz w:val="21"/>
                <w:szCs w:val="21"/>
              </w:rPr>
              <w:t>±15μg/m3</w:t>
            </w:r>
          </w:p>
        </w:tc>
        <w:tc>
          <w:tcPr>
            <w:tcW w:w="1375" w:type="pct"/>
            <w:vAlign w:val="center"/>
          </w:tcPr>
          <w:p>
            <w:pPr>
              <w:widowControl/>
              <w:jc w:val="center"/>
              <w:rPr>
                <w:sz w:val="21"/>
                <w:szCs w:val="21"/>
              </w:rPr>
            </w:pPr>
            <w:r>
              <w:rPr>
                <w:rFonts w:hint="eastAsia"/>
                <w:sz w:val="21"/>
                <w:szCs w:val="21"/>
              </w:rPr>
              <w:t>±20μg/m3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vAlign w:val="center"/>
          </w:tcPr>
          <w:p>
            <w:pPr>
              <w:widowControl/>
              <w:jc w:val="center"/>
              <w:rPr>
                <w:sz w:val="21"/>
                <w:szCs w:val="21"/>
              </w:rPr>
            </w:pPr>
          </w:p>
        </w:tc>
        <w:tc>
          <w:tcPr>
            <w:tcW w:w="607" w:type="pct"/>
            <w:vMerge w:val="continue"/>
            <w:vAlign w:val="center"/>
          </w:tcPr>
          <w:p>
            <w:pPr>
              <w:widowControl/>
              <w:jc w:val="center"/>
              <w:rPr>
                <w:sz w:val="21"/>
                <w:szCs w:val="21"/>
              </w:rPr>
            </w:pPr>
          </w:p>
        </w:tc>
        <w:tc>
          <w:tcPr>
            <w:tcW w:w="1013" w:type="pct"/>
            <w:vAlign w:val="center"/>
          </w:tcPr>
          <w:p>
            <w:pPr>
              <w:widowControl/>
              <w:jc w:val="center"/>
              <w:rPr>
                <w:sz w:val="21"/>
                <w:szCs w:val="21"/>
              </w:rPr>
            </w:pPr>
            <w:r>
              <w:rPr>
                <w:rFonts w:hint="eastAsia"/>
                <w:sz w:val="21"/>
                <w:szCs w:val="21"/>
              </w:rPr>
              <w:t>（100～2000）μg/m3</w:t>
            </w:r>
          </w:p>
        </w:tc>
        <w:tc>
          <w:tcPr>
            <w:tcW w:w="1289" w:type="pct"/>
            <w:vAlign w:val="center"/>
          </w:tcPr>
          <w:p>
            <w:pPr>
              <w:widowControl/>
              <w:jc w:val="center"/>
              <w:rPr>
                <w:sz w:val="21"/>
                <w:szCs w:val="21"/>
              </w:rPr>
            </w:pPr>
            <w:r>
              <w:rPr>
                <w:rFonts w:hint="eastAsia"/>
                <w:sz w:val="21"/>
                <w:szCs w:val="21"/>
              </w:rPr>
              <w:t>±15%</w:t>
            </w:r>
          </w:p>
        </w:tc>
        <w:tc>
          <w:tcPr>
            <w:tcW w:w="1375" w:type="pct"/>
            <w:vAlign w:val="center"/>
          </w:tcPr>
          <w:p>
            <w:pPr>
              <w:widowControl/>
              <w:jc w:val="center"/>
              <w:rPr>
                <w:sz w:val="21"/>
                <w:szCs w:val="21"/>
              </w:rPr>
            </w:pPr>
            <w:r>
              <w:rPr>
                <w:rFonts w:hint="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Align w:val="center"/>
          </w:tcPr>
          <w:p>
            <w:pPr>
              <w:widowControl/>
              <w:jc w:val="center"/>
              <w:rPr>
                <w:sz w:val="21"/>
                <w:szCs w:val="21"/>
              </w:rPr>
            </w:pPr>
            <w:r>
              <w:rPr>
                <w:rFonts w:hint="eastAsia"/>
                <w:sz w:val="21"/>
                <w:szCs w:val="21"/>
              </w:rPr>
              <w:t>5</w:t>
            </w:r>
          </w:p>
        </w:tc>
        <w:tc>
          <w:tcPr>
            <w:tcW w:w="1620" w:type="pct"/>
            <w:gridSpan w:val="2"/>
            <w:vAlign w:val="center"/>
          </w:tcPr>
          <w:p>
            <w:pPr>
              <w:widowControl/>
              <w:jc w:val="center"/>
              <w:rPr>
                <w:sz w:val="21"/>
                <w:szCs w:val="21"/>
              </w:rPr>
            </w:pPr>
            <w:r>
              <w:rPr>
                <w:rFonts w:hint="eastAsia"/>
                <w:sz w:val="21"/>
                <w:szCs w:val="21"/>
              </w:rPr>
              <w:t>比对测量相关系数r</w:t>
            </w:r>
          </w:p>
        </w:tc>
        <w:tc>
          <w:tcPr>
            <w:tcW w:w="1289" w:type="pct"/>
            <w:vAlign w:val="center"/>
          </w:tcPr>
          <w:p>
            <w:pPr>
              <w:widowControl/>
              <w:jc w:val="center"/>
              <w:rPr>
                <w:sz w:val="21"/>
                <w:szCs w:val="21"/>
              </w:rPr>
            </w:pPr>
            <w:r>
              <w:rPr>
                <w:rFonts w:hint="eastAsia"/>
                <w:sz w:val="21"/>
                <w:szCs w:val="21"/>
              </w:rPr>
              <w:t>≥0.85</w:t>
            </w:r>
          </w:p>
        </w:tc>
        <w:tc>
          <w:tcPr>
            <w:tcW w:w="1375" w:type="pct"/>
            <w:vAlign w:val="center"/>
          </w:tcPr>
          <w:p>
            <w:pPr>
              <w:widowControl/>
              <w:jc w:val="center"/>
              <w:rPr>
                <w:sz w:val="21"/>
                <w:szCs w:val="21"/>
              </w:rPr>
            </w:pPr>
            <w:r>
              <w:rPr>
                <w:rFonts w:hint="eastAsia"/>
                <w:sz w:val="21"/>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Align w:val="center"/>
          </w:tcPr>
          <w:p>
            <w:pPr>
              <w:widowControl/>
              <w:jc w:val="center"/>
              <w:rPr>
                <w:sz w:val="21"/>
                <w:szCs w:val="21"/>
              </w:rPr>
            </w:pPr>
            <w:r>
              <w:rPr>
                <w:rFonts w:hint="eastAsia"/>
                <w:sz w:val="21"/>
                <w:szCs w:val="21"/>
              </w:rPr>
              <w:t>6</w:t>
            </w:r>
          </w:p>
        </w:tc>
        <w:tc>
          <w:tcPr>
            <w:tcW w:w="1620" w:type="pct"/>
            <w:gridSpan w:val="2"/>
            <w:vAlign w:val="center"/>
          </w:tcPr>
          <w:p>
            <w:pPr>
              <w:widowControl/>
              <w:jc w:val="center"/>
              <w:rPr>
                <w:sz w:val="21"/>
                <w:szCs w:val="21"/>
              </w:rPr>
            </w:pPr>
            <w:r>
              <w:rPr>
                <w:rFonts w:hint="eastAsia"/>
                <w:sz w:val="21"/>
                <w:szCs w:val="21"/>
              </w:rPr>
              <w:t>仪器平行性</w:t>
            </w:r>
          </w:p>
        </w:tc>
        <w:tc>
          <w:tcPr>
            <w:tcW w:w="1289" w:type="pct"/>
          </w:tcPr>
          <w:p>
            <w:pPr>
              <w:widowControl/>
              <w:jc w:val="center"/>
              <w:rPr>
                <w:sz w:val="21"/>
                <w:szCs w:val="21"/>
              </w:rPr>
            </w:pPr>
            <w:r>
              <w:rPr>
                <w:rFonts w:hint="eastAsia"/>
                <w:sz w:val="21"/>
                <w:szCs w:val="21"/>
              </w:rPr>
              <w:t>≤10%</w:t>
            </w:r>
          </w:p>
        </w:tc>
        <w:tc>
          <w:tcPr>
            <w:tcW w:w="1375" w:type="pct"/>
            <w:vAlign w:val="center"/>
          </w:tcPr>
          <w:p>
            <w:pPr>
              <w:widowControl/>
              <w:jc w:val="center"/>
              <w:rPr>
                <w:sz w:val="21"/>
                <w:szCs w:val="21"/>
              </w:rPr>
            </w:pPr>
            <w:r>
              <w:rPr>
                <w:rFonts w:hint="eastAsia"/>
                <w:sz w:val="21"/>
                <w:szCs w:val="21"/>
              </w:rPr>
              <w:t>≤15%</w:t>
            </w:r>
          </w:p>
        </w:tc>
      </w:tr>
    </w:tbl>
    <w:p>
      <w:pPr>
        <w:snapToGrid w:val="0"/>
        <w:spacing w:line="312" w:lineRule="auto"/>
        <w:rPr>
          <w:szCs w:val="21"/>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313"/>
        <w:gridCol w:w="1422"/>
        <w:gridCol w:w="1422"/>
        <w:gridCol w:w="1422"/>
        <w:gridCol w:w="1408"/>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003" w:type="dxa"/>
            <w:gridSpan w:val="7"/>
            <w:vAlign w:val="center"/>
          </w:tcPr>
          <w:p>
            <w:pPr>
              <w:widowControl/>
              <w:jc w:val="center"/>
            </w:pPr>
            <w:r>
              <w:rPr>
                <w:rFonts w:hint="eastAsia"/>
              </w:rPr>
              <w:t>气态污染物性能指标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08" w:type="dxa"/>
            <w:vAlign w:val="center"/>
          </w:tcPr>
          <w:p>
            <w:pPr>
              <w:widowControl/>
              <w:jc w:val="center"/>
              <w:rPr>
                <w:szCs w:val="21"/>
              </w:rPr>
            </w:pPr>
            <w:r>
              <w:rPr>
                <w:rFonts w:hint="eastAsia"/>
                <w:szCs w:val="21"/>
              </w:rPr>
              <w:t>序号</w:t>
            </w:r>
          </w:p>
        </w:tc>
        <w:tc>
          <w:tcPr>
            <w:tcW w:w="1313" w:type="dxa"/>
            <w:vAlign w:val="center"/>
          </w:tcPr>
          <w:p>
            <w:pPr>
              <w:widowControl/>
              <w:jc w:val="center"/>
              <w:rPr>
                <w:szCs w:val="21"/>
              </w:rPr>
            </w:pPr>
            <w:r>
              <w:rPr>
                <w:rFonts w:hint="eastAsia"/>
                <w:szCs w:val="21"/>
              </w:rPr>
              <w:t>测量参数</w:t>
            </w:r>
          </w:p>
        </w:tc>
        <w:tc>
          <w:tcPr>
            <w:tcW w:w="1422" w:type="dxa"/>
            <w:vAlign w:val="center"/>
          </w:tcPr>
          <w:p>
            <w:pPr>
              <w:widowControl/>
              <w:jc w:val="center"/>
              <w:rPr>
                <w:szCs w:val="21"/>
              </w:rPr>
            </w:pPr>
            <w:r>
              <w:rPr>
                <w:rFonts w:hint="eastAsia"/>
                <w:szCs w:val="21"/>
              </w:rPr>
              <w:t>SO</w:t>
            </w:r>
            <w:r>
              <w:rPr>
                <w:rFonts w:hint="eastAsia"/>
                <w:szCs w:val="21"/>
                <w:vertAlign w:val="subscript"/>
              </w:rPr>
              <w:t>2</w:t>
            </w:r>
          </w:p>
        </w:tc>
        <w:tc>
          <w:tcPr>
            <w:tcW w:w="1422" w:type="dxa"/>
            <w:vAlign w:val="center"/>
          </w:tcPr>
          <w:p>
            <w:pPr>
              <w:widowControl/>
              <w:jc w:val="center"/>
              <w:rPr>
                <w:szCs w:val="21"/>
              </w:rPr>
            </w:pPr>
            <w:r>
              <w:rPr>
                <w:rFonts w:hint="eastAsia"/>
                <w:szCs w:val="21"/>
              </w:rPr>
              <w:t>NO</w:t>
            </w:r>
            <w:r>
              <w:rPr>
                <w:rFonts w:hint="eastAsia"/>
                <w:szCs w:val="21"/>
                <w:vertAlign w:val="subscript"/>
              </w:rPr>
              <w:t>2</w:t>
            </w:r>
            <w:r>
              <w:rPr>
                <w:rFonts w:hint="eastAsia"/>
                <w:b/>
                <w:szCs w:val="21"/>
              </w:rPr>
              <w:t>/</w:t>
            </w:r>
            <w:r>
              <w:rPr>
                <w:rFonts w:hint="eastAsia"/>
                <w:szCs w:val="21"/>
              </w:rPr>
              <w:t>NO</w:t>
            </w:r>
          </w:p>
        </w:tc>
        <w:tc>
          <w:tcPr>
            <w:tcW w:w="1422" w:type="dxa"/>
            <w:vAlign w:val="center"/>
          </w:tcPr>
          <w:p>
            <w:pPr>
              <w:widowControl/>
              <w:jc w:val="center"/>
              <w:rPr>
                <w:szCs w:val="21"/>
              </w:rPr>
            </w:pPr>
            <w:r>
              <w:rPr>
                <w:rFonts w:hint="eastAsia"/>
                <w:szCs w:val="21"/>
              </w:rPr>
              <w:t>O</w:t>
            </w:r>
            <w:r>
              <w:rPr>
                <w:rFonts w:hint="eastAsia"/>
                <w:szCs w:val="21"/>
                <w:vertAlign w:val="subscript"/>
              </w:rPr>
              <w:t>3</w:t>
            </w:r>
          </w:p>
        </w:tc>
        <w:tc>
          <w:tcPr>
            <w:tcW w:w="1408" w:type="dxa"/>
            <w:vAlign w:val="center"/>
          </w:tcPr>
          <w:p>
            <w:pPr>
              <w:widowControl/>
              <w:jc w:val="center"/>
              <w:rPr>
                <w:szCs w:val="21"/>
              </w:rPr>
            </w:pPr>
            <w:r>
              <w:rPr>
                <w:rFonts w:hint="eastAsia"/>
                <w:szCs w:val="21"/>
              </w:rPr>
              <w:t>CO</w:t>
            </w:r>
          </w:p>
        </w:tc>
        <w:tc>
          <w:tcPr>
            <w:tcW w:w="1408" w:type="dxa"/>
            <w:vAlign w:val="center"/>
          </w:tcPr>
          <w:p>
            <w:pPr>
              <w:widowControl/>
              <w:jc w:val="center"/>
              <w:rPr>
                <w:szCs w:val="21"/>
              </w:rPr>
            </w:pPr>
            <w:r>
              <w:rPr>
                <w:rFonts w:hint="eastAsia"/>
                <w:szCs w:val="21"/>
              </w:rPr>
              <w:t>TVOC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08" w:type="dxa"/>
            <w:vAlign w:val="center"/>
          </w:tcPr>
          <w:p>
            <w:pPr>
              <w:widowControl/>
              <w:jc w:val="center"/>
              <w:rPr>
                <w:szCs w:val="21"/>
              </w:rPr>
            </w:pPr>
            <w:r>
              <w:rPr>
                <w:rFonts w:hint="eastAsia"/>
                <w:szCs w:val="21"/>
              </w:rPr>
              <w:t>1</w:t>
            </w:r>
          </w:p>
        </w:tc>
        <w:tc>
          <w:tcPr>
            <w:tcW w:w="1313" w:type="dxa"/>
            <w:vAlign w:val="center"/>
          </w:tcPr>
          <w:p>
            <w:pPr>
              <w:widowControl/>
              <w:jc w:val="center"/>
              <w:rPr>
                <w:szCs w:val="21"/>
              </w:rPr>
            </w:pPr>
            <w:r>
              <w:rPr>
                <w:rFonts w:hint="eastAsia"/>
                <w:szCs w:val="21"/>
              </w:rPr>
              <w:t>测试范围</w:t>
            </w:r>
          </w:p>
        </w:tc>
        <w:tc>
          <w:tcPr>
            <w:tcW w:w="1422" w:type="dxa"/>
            <w:vAlign w:val="center"/>
          </w:tcPr>
          <w:p>
            <w:pPr>
              <w:widowControl/>
              <w:rPr>
                <w:szCs w:val="21"/>
                <w:lang w:val="nl-NL"/>
              </w:rPr>
            </w:pPr>
            <w:r>
              <w:rPr>
                <w:rFonts w:hint="eastAsia"/>
                <w:szCs w:val="21"/>
                <w:lang w:val="nl-NL"/>
              </w:rPr>
              <w:t>（0-500）ppb</w:t>
            </w:r>
          </w:p>
        </w:tc>
        <w:tc>
          <w:tcPr>
            <w:tcW w:w="1422" w:type="dxa"/>
            <w:vAlign w:val="center"/>
          </w:tcPr>
          <w:p>
            <w:pPr>
              <w:widowControl/>
              <w:rPr>
                <w:szCs w:val="21"/>
                <w:lang w:val="nl-NL"/>
              </w:rPr>
            </w:pPr>
            <w:r>
              <w:rPr>
                <w:rFonts w:hint="eastAsia"/>
                <w:szCs w:val="21"/>
                <w:lang w:val="nl-NL"/>
              </w:rPr>
              <w:t>（0-500）ppb</w:t>
            </w:r>
          </w:p>
        </w:tc>
        <w:tc>
          <w:tcPr>
            <w:tcW w:w="1422" w:type="dxa"/>
            <w:vAlign w:val="center"/>
          </w:tcPr>
          <w:p>
            <w:pPr>
              <w:widowControl/>
              <w:rPr>
                <w:szCs w:val="21"/>
                <w:lang w:val="nl-NL"/>
              </w:rPr>
            </w:pPr>
            <w:r>
              <w:rPr>
                <w:rFonts w:hint="eastAsia"/>
                <w:szCs w:val="21"/>
                <w:lang w:val="nl-NL"/>
              </w:rPr>
              <w:t>（0-500）ppb</w:t>
            </w:r>
          </w:p>
        </w:tc>
        <w:tc>
          <w:tcPr>
            <w:tcW w:w="1408" w:type="dxa"/>
            <w:vAlign w:val="center"/>
          </w:tcPr>
          <w:p>
            <w:pPr>
              <w:widowControl/>
              <w:rPr>
                <w:szCs w:val="21"/>
              </w:rPr>
            </w:pPr>
            <w:r>
              <w:rPr>
                <w:rFonts w:hint="eastAsia"/>
                <w:szCs w:val="21"/>
                <w:lang w:val="nl-NL"/>
              </w:rPr>
              <w:t>（0</w:t>
            </w:r>
            <w:r>
              <w:rPr>
                <w:rFonts w:hint="eastAsia"/>
                <w:szCs w:val="21"/>
              </w:rPr>
              <w:t>-</w:t>
            </w:r>
            <w:r>
              <w:rPr>
                <w:rFonts w:hint="eastAsia"/>
                <w:szCs w:val="21"/>
                <w:lang w:val="nl-NL"/>
              </w:rPr>
              <w:t>50）</w:t>
            </w:r>
            <w:r>
              <w:rPr>
                <w:rFonts w:hint="eastAsia"/>
                <w:szCs w:val="21"/>
              </w:rPr>
              <w:t>ppm</w:t>
            </w:r>
          </w:p>
        </w:tc>
        <w:tc>
          <w:tcPr>
            <w:tcW w:w="1408" w:type="dxa"/>
            <w:vAlign w:val="center"/>
          </w:tcPr>
          <w:p>
            <w:pPr>
              <w:widowControl/>
              <w:jc w:val="center"/>
              <w:rPr>
                <w:szCs w:val="21"/>
                <w:lang w:val="nl-NL"/>
              </w:rPr>
            </w:pPr>
            <w:r>
              <w:rPr>
                <w:rFonts w:hint="eastAsia"/>
                <w:szCs w:val="21"/>
                <w:lang w:val="nl-NL"/>
              </w:rPr>
              <w:t>（0</w:t>
            </w:r>
            <w:r>
              <w:rPr>
                <w:rFonts w:hint="eastAsia"/>
                <w:szCs w:val="21"/>
              </w:rPr>
              <w:t>-</w:t>
            </w:r>
            <w:r>
              <w:rPr>
                <w:rFonts w:hint="eastAsia"/>
                <w:szCs w:val="21"/>
                <w:lang w:val="nl-NL"/>
              </w:rPr>
              <w:t>50）</w:t>
            </w:r>
            <w:r>
              <w:rPr>
                <w:rFonts w:hint="eastAsia"/>
                <w:szCs w:val="21"/>
              </w:rPr>
              <w:t>ppm</w:t>
            </w:r>
            <w:r>
              <w:rPr>
                <w:rFonts w:hint="eastAsia"/>
                <w:szCs w:val="21"/>
                <w:lang w:val="nl-N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08" w:type="dxa"/>
            <w:vAlign w:val="center"/>
          </w:tcPr>
          <w:p>
            <w:pPr>
              <w:widowControl/>
              <w:jc w:val="center"/>
              <w:rPr>
                <w:szCs w:val="21"/>
              </w:rPr>
            </w:pPr>
            <w:r>
              <w:rPr>
                <w:rFonts w:hint="eastAsia"/>
                <w:szCs w:val="21"/>
              </w:rPr>
              <w:t>2</w:t>
            </w:r>
          </w:p>
        </w:tc>
        <w:tc>
          <w:tcPr>
            <w:tcW w:w="1313" w:type="dxa"/>
            <w:vAlign w:val="center"/>
          </w:tcPr>
          <w:p>
            <w:pPr>
              <w:widowControl/>
              <w:jc w:val="center"/>
              <w:rPr>
                <w:szCs w:val="21"/>
              </w:rPr>
            </w:pPr>
            <w:r>
              <w:rPr>
                <w:rFonts w:hint="eastAsia"/>
                <w:szCs w:val="21"/>
              </w:rPr>
              <w:t>分辨率</w:t>
            </w:r>
          </w:p>
        </w:tc>
        <w:tc>
          <w:tcPr>
            <w:tcW w:w="1422" w:type="dxa"/>
            <w:vAlign w:val="center"/>
          </w:tcPr>
          <w:p>
            <w:pPr>
              <w:pStyle w:val="24"/>
              <w:jc w:val="center"/>
              <w:rPr>
                <w:rFonts w:hAnsi="宋体"/>
                <w:bCs/>
                <w:color w:val="auto"/>
                <w:sz w:val="22"/>
                <w:szCs w:val="21"/>
                <w:lang w:val="zh-CN" w:bidi="zh-CN"/>
              </w:rPr>
            </w:pPr>
            <w:r>
              <w:rPr>
                <w:rFonts w:hint="eastAsia" w:hAnsi="宋体"/>
                <w:bCs/>
                <w:color w:val="auto"/>
                <w:sz w:val="22"/>
                <w:szCs w:val="21"/>
                <w:lang w:val="zh-CN" w:bidi="zh-CN"/>
              </w:rPr>
              <w:t>0.1</w:t>
            </w:r>
            <w:r>
              <w:rPr>
                <w:rFonts w:hAnsi="宋体"/>
                <w:bCs/>
                <w:color w:val="auto"/>
                <w:sz w:val="22"/>
                <w:szCs w:val="21"/>
                <w:lang w:val="zh-CN" w:bidi="zh-CN"/>
              </w:rPr>
              <w:t>ppb</w:t>
            </w:r>
          </w:p>
        </w:tc>
        <w:tc>
          <w:tcPr>
            <w:tcW w:w="1422" w:type="dxa"/>
            <w:vAlign w:val="center"/>
          </w:tcPr>
          <w:p>
            <w:pPr>
              <w:pStyle w:val="24"/>
              <w:jc w:val="center"/>
              <w:rPr>
                <w:rFonts w:hAnsi="宋体"/>
                <w:bCs/>
                <w:color w:val="auto"/>
                <w:sz w:val="22"/>
                <w:szCs w:val="21"/>
                <w:lang w:val="zh-CN" w:bidi="zh-CN"/>
              </w:rPr>
            </w:pPr>
            <w:r>
              <w:rPr>
                <w:rFonts w:hint="eastAsia" w:hAnsi="宋体"/>
                <w:bCs/>
                <w:color w:val="auto"/>
                <w:sz w:val="22"/>
                <w:szCs w:val="21"/>
                <w:lang w:val="zh-CN" w:bidi="zh-CN"/>
              </w:rPr>
              <w:t>0.1</w:t>
            </w:r>
            <w:r>
              <w:rPr>
                <w:rFonts w:hAnsi="宋体"/>
                <w:bCs/>
                <w:color w:val="auto"/>
                <w:sz w:val="22"/>
                <w:szCs w:val="21"/>
                <w:lang w:val="zh-CN" w:bidi="zh-CN"/>
              </w:rPr>
              <w:t>ppb</w:t>
            </w:r>
          </w:p>
        </w:tc>
        <w:tc>
          <w:tcPr>
            <w:tcW w:w="1422" w:type="dxa"/>
            <w:vAlign w:val="center"/>
          </w:tcPr>
          <w:p>
            <w:pPr>
              <w:pStyle w:val="24"/>
              <w:jc w:val="center"/>
              <w:rPr>
                <w:rFonts w:hAnsi="宋体"/>
                <w:bCs/>
                <w:color w:val="auto"/>
                <w:sz w:val="22"/>
                <w:szCs w:val="21"/>
                <w:lang w:val="zh-CN" w:bidi="zh-CN"/>
              </w:rPr>
            </w:pPr>
            <w:r>
              <w:rPr>
                <w:rFonts w:hint="eastAsia" w:hAnsi="宋体"/>
                <w:bCs/>
                <w:color w:val="auto"/>
                <w:sz w:val="22"/>
                <w:szCs w:val="21"/>
                <w:lang w:val="zh-CN" w:bidi="zh-CN"/>
              </w:rPr>
              <w:t>0.1</w:t>
            </w:r>
            <w:r>
              <w:rPr>
                <w:rFonts w:hAnsi="宋体"/>
                <w:bCs/>
                <w:color w:val="auto"/>
                <w:sz w:val="22"/>
                <w:szCs w:val="21"/>
                <w:lang w:val="zh-CN" w:bidi="zh-CN"/>
              </w:rPr>
              <w:t>ppb</w:t>
            </w:r>
          </w:p>
        </w:tc>
        <w:tc>
          <w:tcPr>
            <w:tcW w:w="1408" w:type="dxa"/>
            <w:vAlign w:val="center"/>
          </w:tcPr>
          <w:p>
            <w:pPr>
              <w:widowControl/>
              <w:jc w:val="center"/>
              <w:rPr>
                <w:szCs w:val="21"/>
                <w:lang w:val="nl-NL"/>
              </w:rPr>
            </w:pPr>
            <w:r>
              <w:rPr>
                <w:rFonts w:hint="eastAsia"/>
                <w:bCs/>
                <w:szCs w:val="21"/>
              </w:rPr>
              <w:t>0.01</w:t>
            </w:r>
            <w:r>
              <w:rPr>
                <w:bCs/>
                <w:szCs w:val="21"/>
              </w:rPr>
              <w:t>ppm</w:t>
            </w:r>
          </w:p>
        </w:tc>
        <w:tc>
          <w:tcPr>
            <w:tcW w:w="1408" w:type="dxa"/>
            <w:vAlign w:val="center"/>
          </w:tcPr>
          <w:p>
            <w:pPr>
              <w:widowControl/>
              <w:jc w:val="center"/>
              <w:rPr>
                <w:szCs w:val="21"/>
                <w:lang w:val="nl-NL"/>
              </w:rPr>
            </w:pPr>
            <w:r>
              <w:rPr>
                <w:szCs w:val="21"/>
                <w:lang w:val="nl-NL"/>
              </w:rPr>
              <w:t>1</w:t>
            </w:r>
            <w:r>
              <w:rPr>
                <w:rFonts w:hint="eastAsia"/>
                <w:szCs w:val="21"/>
                <w:lang w:val="nl-NL"/>
              </w:rPr>
              <w:t>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08" w:type="dxa"/>
            <w:vAlign w:val="center"/>
          </w:tcPr>
          <w:p>
            <w:pPr>
              <w:widowControl/>
              <w:jc w:val="center"/>
              <w:rPr>
                <w:szCs w:val="21"/>
              </w:rPr>
            </w:pPr>
            <w:r>
              <w:rPr>
                <w:rFonts w:hint="eastAsia"/>
                <w:szCs w:val="21"/>
              </w:rPr>
              <w:t>3</w:t>
            </w:r>
          </w:p>
        </w:tc>
        <w:tc>
          <w:tcPr>
            <w:tcW w:w="1313" w:type="dxa"/>
            <w:vAlign w:val="center"/>
          </w:tcPr>
          <w:p>
            <w:pPr>
              <w:widowControl/>
              <w:jc w:val="center"/>
              <w:rPr>
                <w:szCs w:val="21"/>
              </w:rPr>
            </w:pPr>
            <w:r>
              <w:rPr>
                <w:rFonts w:hint="eastAsia"/>
                <w:szCs w:val="21"/>
              </w:rPr>
              <w:t>最低检测限</w:t>
            </w:r>
          </w:p>
        </w:tc>
        <w:tc>
          <w:tcPr>
            <w:tcW w:w="1422" w:type="dxa"/>
            <w:vAlign w:val="center"/>
          </w:tcPr>
          <w:p>
            <w:pPr>
              <w:pStyle w:val="24"/>
              <w:jc w:val="center"/>
              <w:rPr>
                <w:rFonts w:hAnsi="宋体"/>
                <w:bCs/>
                <w:color w:val="auto"/>
                <w:sz w:val="22"/>
                <w:szCs w:val="21"/>
                <w:lang w:val="zh-CN" w:bidi="zh-CN"/>
              </w:rPr>
            </w:pPr>
            <w:r>
              <w:rPr>
                <w:rFonts w:hAnsi="宋体"/>
                <w:bCs/>
                <w:color w:val="auto"/>
                <w:sz w:val="22"/>
                <w:szCs w:val="21"/>
                <w:lang w:val="zh-CN" w:bidi="zh-CN"/>
              </w:rPr>
              <w:t>5</w:t>
            </w:r>
            <w:r>
              <w:rPr>
                <w:rFonts w:hint="eastAsia" w:hAnsi="宋体"/>
                <w:bCs/>
                <w:color w:val="auto"/>
                <w:sz w:val="22"/>
                <w:szCs w:val="21"/>
                <w:lang w:val="zh-CN" w:bidi="zh-CN"/>
              </w:rPr>
              <w:t>ppb</w:t>
            </w:r>
          </w:p>
        </w:tc>
        <w:tc>
          <w:tcPr>
            <w:tcW w:w="1422" w:type="dxa"/>
            <w:vAlign w:val="center"/>
          </w:tcPr>
          <w:p>
            <w:pPr>
              <w:pStyle w:val="24"/>
              <w:jc w:val="center"/>
              <w:rPr>
                <w:rFonts w:hAnsi="宋体"/>
                <w:bCs/>
                <w:color w:val="auto"/>
                <w:sz w:val="22"/>
                <w:szCs w:val="21"/>
                <w:lang w:val="zh-CN" w:bidi="zh-CN"/>
              </w:rPr>
            </w:pPr>
            <w:r>
              <w:rPr>
                <w:rFonts w:hAnsi="宋体"/>
                <w:bCs/>
                <w:color w:val="auto"/>
                <w:sz w:val="22"/>
                <w:szCs w:val="21"/>
                <w:lang w:val="zh-CN" w:bidi="zh-CN"/>
              </w:rPr>
              <w:t>5</w:t>
            </w:r>
            <w:r>
              <w:rPr>
                <w:rFonts w:hint="eastAsia" w:hAnsi="宋体"/>
                <w:bCs/>
                <w:color w:val="auto"/>
                <w:sz w:val="22"/>
                <w:szCs w:val="21"/>
                <w:lang w:val="zh-CN" w:bidi="zh-CN"/>
              </w:rPr>
              <w:t>ppb</w:t>
            </w:r>
          </w:p>
        </w:tc>
        <w:tc>
          <w:tcPr>
            <w:tcW w:w="1422" w:type="dxa"/>
            <w:vAlign w:val="center"/>
          </w:tcPr>
          <w:p>
            <w:pPr>
              <w:pStyle w:val="24"/>
              <w:jc w:val="center"/>
              <w:rPr>
                <w:rFonts w:hAnsi="宋体"/>
                <w:bCs/>
                <w:color w:val="auto"/>
                <w:sz w:val="22"/>
                <w:szCs w:val="21"/>
                <w:lang w:val="zh-CN" w:bidi="zh-CN"/>
              </w:rPr>
            </w:pPr>
            <w:r>
              <w:rPr>
                <w:rFonts w:hAnsi="宋体"/>
                <w:bCs/>
                <w:color w:val="auto"/>
                <w:sz w:val="22"/>
                <w:szCs w:val="21"/>
                <w:lang w:val="zh-CN" w:bidi="zh-CN"/>
              </w:rPr>
              <w:t>5</w:t>
            </w:r>
            <w:r>
              <w:rPr>
                <w:rFonts w:hint="eastAsia" w:hAnsi="宋体"/>
                <w:bCs/>
                <w:color w:val="auto"/>
                <w:sz w:val="22"/>
                <w:szCs w:val="21"/>
                <w:lang w:val="zh-CN" w:bidi="zh-CN"/>
              </w:rPr>
              <w:t>ppb</w:t>
            </w:r>
          </w:p>
        </w:tc>
        <w:tc>
          <w:tcPr>
            <w:tcW w:w="1408" w:type="dxa"/>
            <w:vAlign w:val="center"/>
          </w:tcPr>
          <w:p>
            <w:pPr>
              <w:widowControl/>
              <w:jc w:val="center"/>
              <w:rPr>
                <w:bCs/>
                <w:szCs w:val="21"/>
              </w:rPr>
            </w:pPr>
            <w:r>
              <w:rPr>
                <w:rFonts w:hint="eastAsia"/>
                <w:bCs/>
                <w:szCs w:val="21"/>
              </w:rPr>
              <w:t>0</w:t>
            </w:r>
            <w:r>
              <w:rPr>
                <w:bCs/>
                <w:szCs w:val="21"/>
              </w:rPr>
              <w:t>.1</w:t>
            </w:r>
            <w:r>
              <w:rPr>
                <w:rFonts w:hint="eastAsia"/>
                <w:bCs/>
                <w:szCs w:val="21"/>
              </w:rPr>
              <w:t>ppm</w:t>
            </w:r>
          </w:p>
        </w:tc>
        <w:tc>
          <w:tcPr>
            <w:tcW w:w="1408" w:type="dxa"/>
            <w:vAlign w:val="center"/>
          </w:tcPr>
          <w:p>
            <w:pPr>
              <w:widowControl/>
              <w:jc w:val="center"/>
              <w:rPr>
                <w:szCs w:val="21"/>
                <w:lang w:val="nl-NL"/>
              </w:rPr>
            </w:pPr>
            <w:r>
              <w:rPr>
                <w:rFonts w:hint="eastAsia"/>
                <w:szCs w:val="21"/>
                <w:lang w:val="nl-NL"/>
              </w:rPr>
              <w:t>1ppb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08" w:type="dxa"/>
            <w:vAlign w:val="center"/>
          </w:tcPr>
          <w:p>
            <w:pPr>
              <w:widowControl/>
              <w:jc w:val="center"/>
              <w:rPr>
                <w:szCs w:val="21"/>
              </w:rPr>
            </w:pPr>
            <w:r>
              <w:rPr>
                <w:rFonts w:hint="eastAsia"/>
                <w:szCs w:val="21"/>
              </w:rPr>
              <w:t>4</w:t>
            </w:r>
          </w:p>
        </w:tc>
        <w:tc>
          <w:tcPr>
            <w:tcW w:w="1313" w:type="dxa"/>
            <w:vAlign w:val="center"/>
          </w:tcPr>
          <w:p>
            <w:pPr>
              <w:widowControl/>
              <w:jc w:val="center"/>
              <w:rPr>
                <w:szCs w:val="21"/>
              </w:rPr>
            </w:pPr>
            <w:r>
              <w:rPr>
                <w:rFonts w:hint="eastAsia"/>
                <w:szCs w:val="21"/>
              </w:rPr>
              <w:t>示值误差</w:t>
            </w:r>
          </w:p>
        </w:tc>
        <w:tc>
          <w:tcPr>
            <w:tcW w:w="1422" w:type="dxa"/>
            <w:vAlign w:val="center"/>
          </w:tcPr>
          <w:p>
            <w:pPr>
              <w:widowControl/>
              <w:jc w:val="center"/>
              <w:rPr>
                <w:szCs w:val="21"/>
              </w:rPr>
            </w:pPr>
            <w:r>
              <w:rPr>
                <w:rFonts w:hint="eastAsia"/>
                <w:szCs w:val="21"/>
              </w:rPr>
              <w:t>±10% FS</w:t>
            </w:r>
          </w:p>
        </w:tc>
        <w:tc>
          <w:tcPr>
            <w:tcW w:w="1422" w:type="dxa"/>
            <w:vAlign w:val="center"/>
          </w:tcPr>
          <w:p>
            <w:pPr>
              <w:widowControl/>
              <w:jc w:val="center"/>
              <w:rPr>
                <w:szCs w:val="21"/>
              </w:rPr>
            </w:pPr>
            <w:r>
              <w:rPr>
                <w:rFonts w:hint="eastAsia"/>
                <w:szCs w:val="21"/>
              </w:rPr>
              <w:t>±10% FS</w:t>
            </w:r>
          </w:p>
        </w:tc>
        <w:tc>
          <w:tcPr>
            <w:tcW w:w="1422" w:type="dxa"/>
            <w:vAlign w:val="center"/>
          </w:tcPr>
          <w:p>
            <w:pPr>
              <w:widowControl/>
              <w:jc w:val="center"/>
              <w:rPr>
                <w:szCs w:val="21"/>
              </w:rPr>
            </w:pPr>
            <w:r>
              <w:rPr>
                <w:rFonts w:hint="eastAsia"/>
                <w:szCs w:val="21"/>
              </w:rPr>
              <w:t>±10% FS</w:t>
            </w:r>
          </w:p>
        </w:tc>
        <w:tc>
          <w:tcPr>
            <w:tcW w:w="1408" w:type="dxa"/>
            <w:vAlign w:val="center"/>
          </w:tcPr>
          <w:p>
            <w:pPr>
              <w:widowControl/>
              <w:jc w:val="center"/>
              <w:rPr>
                <w:szCs w:val="21"/>
              </w:rPr>
            </w:pPr>
            <w:r>
              <w:rPr>
                <w:rFonts w:hint="eastAsia"/>
                <w:szCs w:val="21"/>
              </w:rPr>
              <w:t>±10% FS</w:t>
            </w:r>
          </w:p>
        </w:tc>
        <w:tc>
          <w:tcPr>
            <w:tcW w:w="1408" w:type="dxa"/>
            <w:vAlign w:val="center"/>
          </w:tcPr>
          <w:p>
            <w:pPr>
              <w:widowControl/>
              <w:jc w:val="center"/>
              <w:rPr>
                <w:szCs w:val="21"/>
                <w:lang w:val="nl-NL"/>
              </w:rPr>
            </w:pPr>
            <w:r>
              <w:rPr>
                <w:szCs w:val="21"/>
                <w:lang w:val="nl-NL"/>
              </w:rPr>
              <w:t>±</w:t>
            </w:r>
            <w:r>
              <w:rPr>
                <w:rFonts w:hint="eastAsia"/>
                <w:szCs w:val="21"/>
                <w:lang w:val="nl-NL"/>
              </w:rPr>
              <w:t>5</w:t>
            </w:r>
            <w:r>
              <w:rPr>
                <w:szCs w:val="21"/>
                <w:lang w:val="nl-NL"/>
              </w:rPr>
              <w:t>%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08" w:type="dxa"/>
            <w:vAlign w:val="center"/>
          </w:tcPr>
          <w:p>
            <w:pPr>
              <w:widowControl/>
              <w:jc w:val="center"/>
              <w:rPr>
                <w:szCs w:val="21"/>
              </w:rPr>
            </w:pPr>
            <w:r>
              <w:rPr>
                <w:rFonts w:hint="eastAsia"/>
                <w:szCs w:val="21"/>
              </w:rPr>
              <w:t>5</w:t>
            </w:r>
          </w:p>
        </w:tc>
        <w:tc>
          <w:tcPr>
            <w:tcW w:w="1313" w:type="dxa"/>
            <w:vAlign w:val="center"/>
          </w:tcPr>
          <w:p>
            <w:pPr>
              <w:widowControl/>
              <w:jc w:val="center"/>
              <w:rPr>
                <w:szCs w:val="21"/>
              </w:rPr>
            </w:pPr>
            <w:r>
              <w:rPr>
                <w:rFonts w:hint="eastAsia"/>
                <w:szCs w:val="21"/>
              </w:rPr>
              <w:t>重复性</w:t>
            </w:r>
          </w:p>
        </w:tc>
        <w:tc>
          <w:tcPr>
            <w:tcW w:w="1422" w:type="dxa"/>
            <w:vAlign w:val="center"/>
          </w:tcPr>
          <w:p>
            <w:pPr>
              <w:widowControl/>
              <w:jc w:val="center"/>
              <w:rPr>
                <w:szCs w:val="21"/>
              </w:rPr>
            </w:pPr>
            <w:r>
              <w:rPr>
                <w:rFonts w:hint="eastAsia"/>
                <w:szCs w:val="21"/>
              </w:rPr>
              <w:t>5%</w:t>
            </w:r>
          </w:p>
        </w:tc>
        <w:tc>
          <w:tcPr>
            <w:tcW w:w="1422" w:type="dxa"/>
            <w:vAlign w:val="center"/>
          </w:tcPr>
          <w:p>
            <w:pPr>
              <w:widowControl/>
              <w:jc w:val="center"/>
              <w:rPr>
                <w:szCs w:val="21"/>
              </w:rPr>
            </w:pPr>
            <w:r>
              <w:rPr>
                <w:rFonts w:hint="eastAsia"/>
                <w:szCs w:val="21"/>
              </w:rPr>
              <w:t>5%</w:t>
            </w:r>
          </w:p>
        </w:tc>
        <w:tc>
          <w:tcPr>
            <w:tcW w:w="1422" w:type="dxa"/>
            <w:vAlign w:val="center"/>
          </w:tcPr>
          <w:p>
            <w:pPr>
              <w:widowControl/>
              <w:jc w:val="center"/>
              <w:rPr>
                <w:szCs w:val="21"/>
              </w:rPr>
            </w:pPr>
            <w:r>
              <w:rPr>
                <w:rFonts w:hint="eastAsia"/>
                <w:szCs w:val="21"/>
              </w:rPr>
              <w:t>5%</w:t>
            </w:r>
          </w:p>
        </w:tc>
        <w:tc>
          <w:tcPr>
            <w:tcW w:w="1408" w:type="dxa"/>
            <w:vAlign w:val="center"/>
          </w:tcPr>
          <w:p>
            <w:pPr>
              <w:widowControl/>
              <w:jc w:val="center"/>
              <w:rPr>
                <w:szCs w:val="21"/>
              </w:rPr>
            </w:pPr>
            <w:r>
              <w:rPr>
                <w:rFonts w:hint="eastAsia"/>
                <w:szCs w:val="21"/>
              </w:rPr>
              <w:t>5%</w:t>
            </w:r>
          </w:p>
        </w:tc>
        <w:tc>
          <w:tcPr>
            <w:tcW w:w="1408" w:type="dxa"/>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08" w:type="dxa"/>
            <w:vAlign w:val="center"/>
          </w:tcPr>
          <w:p>
            <w:pPr>
              <w:widowControl/>
              <w:jc w:val="center"/>
              <w:rPr>
                <w:szCs w:val="21"/>
              </w:rPr>
            </w:pPr>
            <w:r>
              <w:rPr>
                <w:rFonts w:hint="eastAsia"/>
                <w:szCs w:val="21"/>
              </w:rPr>
              <w:t>6</w:t>
            </w:r>
          </w:p>
        </w:tc>
        <w:tc>
          <w:tcPr>
            <w:tcW w:w="1313" w:type="dxa"/>
            <w:vAlign w:val="center"/>
          </w:tcPr>
          <w:p>
            <w:pPr>
              <w:widowControl/>
              <w:jc w:val="center"/>
              <w:rPr>
                <w:szCs w:val="21"/>
              </w:rPr>
            </w:pPr>
            <w:r>
              <w:rPr>
                <w:rFonts w:hint="eastAsia"/>
                <w:szCs w:val="21"/>
              </w:rPr>
              <w:t>传感器响应时间</w:t>
            </w:r>
          </w:p>
        </w:tc>
        <w:tc>
          <w:tcPr>
            <w:tcW w:w="1422" w:type="dxa"/>
            <w:vAlign w:val="center"/>
          </w:tcPr>
          <w:p>
            <w:pPr>
              <w:widowControl/>
              <w:jc w:val="center"/>
              <w:rPr>
                <w:szCs w:val="21"/>
              </w:rPr>
            </w:pPr>
            <w:r>
              <w:rPr>
                <w:rFonts w:hint="eastAsia"/>
                <w:szCs w:val="21"/>
              </w:rPr>
              <w:t>≤60s</w:t>
            </w:r>
          </w:p>
        </w:tc>
        <w:tc>
          <w:tcPr>
            <w:tcW w:w="1422" w:type="dxa"/>
            <w:vAlign w:val="center"/>
          </w:tcPr>
          <w:p>
            <w:pPr>
              <w:widowControl/>
              <w:jc w:val="center"/>
              <w:rPr>
                <w:szCs w:val="21"/>
              </w:rPr>
            </w:pPr>
            <w:r>
              <w:rPr>
                <w:rFonts w:hint="eastAsia"/>
                <w:szCs w:val="21"/>
              </w:rPr>
              <w:t>≤60s</w:t>
            </w:r>
          </w:p>
        </w:tc>
        <w:tc>
          <w:tcPr>
            <w:tcW w:w="1422" w:type="dxa"/>
            <w:vAlign w:val="center"/>
          </w:tcPr>
          <w:p>
            <w:pPr>
              <w:widowControl/>
              <w:jc w:val="center"/>
              <w:rPr>
                <w:szCs w:val="21"/>
              </w:rPr>
            </w:pPr>
            <w:r>
              <w:rPr>
                <w:rFonts w:hint="eastAsia"/>
                <w:szCs w:val="21"/>
              </w:rPr>
              <w:t>≤60s</w:t>
            </w:r>
          </w:p>
        </w:tc>
        <w:tc>
          <w:tcPr>
            <w:tcW w:w="1408" w:type="dxa"/>
            <w:vAlign w:val="center"/>
          </w:tcPr>
          <w:p>
            <w:pPr>
              <w:widowControl/>
              <w:jc w:val="center"/>
              <w:rPr>
                <w:szCs w:val="21"/>
              </w:rPr>
            </w:pPr>
            <w:r>
              <w:rPr>
                <w:rFonts w:hint="eastAsia"/>
                <w:szCs w:val="21"/>
              </w:rPr>
              <w:t>≤60s</w:t>
            </w:r>
          </w:p>
        </w:tc>
        <w:tc>
          <w:tcPr>
            <w:tcW w:w="1408" w:type="dxa"/>
            <w:vAlign w:val="center"/>
          </w:tcPr>
          <w:p>
            <w:pPr>
              <w:widowControl/>
              <w:jc w:val="center"/>
              <w:rPr>
                <w:szCs w:val="21"/>
              </w:rPr>
            </w:pPr>
            <w:r>
              <w:rPr>
                <w:rFonts w:hint="eastAsia"/>
                <w:szCs w:val="21"/>
              </w:rPr>
              <w:t>≤60s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08" w:type="dxa"/>
            <w:vAlign w:val="center"/>
          </w:tcPr>
          <w:p>
            <w:pPr>
              <w:widowControl/>
              <w:jc w:val="center"/>
              <w:rPr>
                <w:szCs w:val="21"/>
              </w:rPr>
            </w:pPr>
            <w:r>
              <w:rPr>
                <w:rFonts w:hint="eastAsia"/>
                <w:szCs w:val="21"/>
              </w:rPr>
              <w:t>7</w:t>
            </w:r>
          </w:p>
        </w:tc>
        <w:tc>
          <w:tcPr>
            <w:tcW w:w="1313" w:type="dxa"/>
            <w:vAlign w:val="center"/>
          </w:tcPr>
          <w:p>
            <w:pPr>
              <w:widowControl/>
              <w:jc w:val="center"/>
              <w:rPr>
                <w:szCs w:val="21"/>
              </w:rPr>
            </w:pPr>
            <w:r>
              <w:rPr>
                <w:rFonts w:hint="eastAsia"/>
                <w:szCs w:val="21"/>
              </w:rPr>
              <w:t>零点漂移</w:t>
            </w:r>
          </w:p>
        </w:tc>
        <w:tc>
          <w:tcPr>
            <w:tcW w:w="1422" w:type="dxa"/>
            <w:vAlign w:val="center"/>
          </w:tcPr>
          <w:p>
            <w:pPr>
              <w:widowControl/>
              <w:jc w:val="center"/>
              <w:rPr>
                <w:szCs w:val="21"/>
              </w:rPr>
            </w:pPr>
            <w:r>
              <w:rPr>
                <w:rFonts w:hint="eastAsia"/>
                <w:szCs w:val="21"/>
              </w:rPr>
              <w:t>±10</w:t>
            </w:r>
            <w:r>
              <w:rPr>
                <w:rFonts w:hint="eastAsia"/>
                <w:szCs w:val="21"/>
                <w:lang w:val="nl-NL"/>
              </w:rPr>
              <w:t xml:space="preserve"> ppb</w:t>
            </w:r>
          </w:p>
        </w:tc>
        <w:tc>
          <w:tcPr>
            <w:tcW w:w="1422" w:type="dxa"/>
            <w:vAlign w:val="center"/>
          </w:tcPr>
          <w:p>
            <w:pPr>
              <w:widowControl/>
              <w:jc w:val="center"/>
              <w:rPr>
                <w:szCs w:val="21"/>
              </w:rPr>
            </w:pPr>
            <w:r>
              <w:rPr>
                <w:rFonts w:hint="eastAsia"/>
                <w:szCs w:val="21"/>
              </w:rPr>
              <w:t>±10</w:t>
            </w:r>
            <w:r>
              <w:rPr>
                <w:rFonts w:hint="eastAsia"/>
                <w:szCs w:val="21"/>
                <w:lang w:val="nl-NL"/>
              </w:rPr>
              <w:t xml:space="preserve"> ppb</w:t>
            </w:r>
          </w:p>
        </w:tc>
        <w:tc>
          <w:tcPr>
            <w:tcW w:w="1422" w:type="dxa"/>
            <w:vAlign w:val="center"/>
          </w:tcPr>
          <w:p>
            <w:pPr>
              <w:widowControl/>
              <w:jc w:val="center"/>
              <w:rPr>
                <w:szCs w:val="21"/>
              </w:rPr>
            </w:pPr>
            <w:r>
              <w:rPr>
                <w:rFonts w:hint="eastAsia"/>
                <w:szCs w:val="21"/>
              </w:rPr>
              <w:t>±10</w:t>
            </w:r>
            <w:r>
              <w:rPr>
                <w:rFonts w:hint="eastAsia"/>
                <w:szCs w:val="21"/>
                <w:lang w:val="nl-NL"/>
              </w:rPr>
              <w:t xml:space="preserve"> ppb</w:t>
            </w:r>
          </w:p>
        </w:tc>
        <w:tc>
          <w:tcPr>
            <w:tcW w:w="1408" w:type="dxa"/>
            <w:vAlign w:val="center"/>
          </w:tcPr>
          <w:p>
            <w:pPr>
              <w:widowControl/>
              <w:jc w:val="center"/>
              <w:rPr>
                <w:szCs w:val="21"/>
              </w:rPr>
            </w:pPr>
            <w:r>
              <w:rPr>
                <w:rFonts w:hint="eastAsia"/>
                <w:szCs w:val="21"/>
              </w:rPr>
              <w:t>±0.1 ppm</w:t>
            </w:r>
          </w:p>
        </w:tc>
        <w:tc>
          <w:tcPr>
            <w:tcW w:w="1408" w:type="dxa"/>
            <w:vAlign w:val="center"/>
          </w:tcPr>
          <w:p>
            <w:pPr>
              <w:widowControl/>
              <w:jc w:val="center"/>
              <w:rPr>
                <w:sz w:val="24"/>
                <w:szCs w:val="24"/>
              </w:rPr>
            </w:pPr>
            <w:r>
              <w:rPr>
                <w:sz w:val="24"/>
                <w:szCs w:val="24"/>
              </w:rPr>
              <w:t>±</w:t>
            </w:r>
            <w:r>
              <w:rPr>
                <w:rFonts w:hint="eastAsia"/>
                <w:sz w:val="24"/>
                <w:szCs w:val="24"/>
              </w:rPr>
              <w:t>10</w:t>
            </w:r>
            <w:r>
              <w:rPr>
                <w:sz w:val="24"/>
                <w:szCs w:val="24"/>
              </w:rPr>
              <w:t xml:space="preserve"> </w:t>
            </w:r>
            <w:r>
              <w:rPr>
                <w:rFonts w:hint="eastAsia"/>
                <w:sz w:val="24"/>
                <w:szCs w:val="24"/>
              </w:rPr>
              <w:t>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08" w:type="dxa"/>
            <w:vAlign w:val="center"/>
          </w:tcPr>
          <w:p>
            <w:pPr>
              <w:widowControl/>
              <w:jc w:val="center"/>
              <w:rPr>
                <w:szCs w:val="21"/>
              </w:rPr>
            </w:pPr>
            <w:r>
              <w:rPr>
                <w:rFonts w:hint="eastAsia"/>
                <w:szCs w:val="21"/>
              </w:rPr>
              <w:t>8</w:t>
            </w:r>
          </w:p>
        </w:tc>
        <w:tc>
          <w:tcPr>
            <w:tcW w:w="1313" w:type="dxa"/>
            <w:vAlign w:val="center"/>
          </w:tcPr>
          <w:p>
            <w:pPr>
              <w:widowControl/>
              <w:jc w:val="center"/>
              <w:rPr>
                <w:szCs w:val="21"/>
              </w:rPr>
            </w:pPr>
            <w:r>
              <w:rPr>
                <w:rFonts w:hint="eastAsia"/>
                <w:szCs w:val="21"/>
              </w:rPr>
              <w:t>量程漂移</w:t>
            </w:r>
          </w:p>
        </w:tc>
        <w:tc>
          <w:tcPr>
            <w:tcW w:w="1422" w:type="dxa"/>
            <w:vAlign w:val="center"/>
          </w:tcPr>
          <w:p>
            <w:pPr>
              <w:widowControl/>
              <w:jc w:val="center"/>
              <w:rPr>
                <w:szCs w:val="21"/>
              </w:rPr>
            </w:pPr>
            <w:r>
              <w:rPr>
                <w:rFonts w:hint="eastAsia"/>
                <w:szCs w:val="21"/>
              </w:rPr>
              <w:t xml:space="preserve">±10% </w:t>
            </w:r>
          </w:p>
        </w:tc>
        <w:tc>
          <w:tcPr>
            <w:tcW w:w="1422" w:type="dxa"/>
            <w:vAlign w:val="center"/>
          </w:tcPr>
          <w:p>
            <w:pPr>
              <w:widowControl/>
              <w:jc w:val="center"/>
              <w:rPr>
                <w:szCs w:val="21"/>
              </w:rPr>
            </w:pPr>
            <w:r>
              <w:rPr>
                <w:rFonts w:hint="eastAsia"/>
                <w:szCs w:val="21"/>
              </w:rPr>
              <w:t xml:space="preserve">±10% </w:t>
            </w:r>
          </w:p>
        </w:tc>
        <w:tc>
          <w:tcPr>
            <w:tcW w:w="1422" w:type="dxa"/>
            <w:vAlign w:val="center"/>
          </w:tcPr>
          <w:p>
            <w:pPr>
              <w:widowControl/>
              <w:jc w:val="center"/>
              <w:rPr>
                <w:szCs w:val="21"/>
              </w:rPr>
            </w:pPr>
            <w:r>
              <w:rPr>
                <w:rFonts w:hint="eastAsia"/>
                <w:szCs w:val="21"/>
              </w:rPr>
              <w:t xml:space="preserve">±10% </w:t>
            </w:r>
          </w:p>
        </w:tc>
        <w:tc>
          <w:tcPr>
            <w:tcW w:w="1408" w:type="dxa"/>
            <w:vAlign w:val="center"/>
          </w:tcPr>
          <w:p>
            <w:pPr>
              <w:widowControl/>
              <w:jc w:val="center"/>
              <w:rPr>
                <w:szCs w:val="21"/>
              </w:rPr>
            </w:pPr>
            <w:r>
              <w:rPr>
                <w:rFonts w:hint="eastAsia"/>
                <w:szCs w:val="21"/>
              </w:rPr>
              <w:t xml:space="preserve">±10% </w:t>
            </w:r>
          </w:p>
        </w:tc>
        <w:tc>
          <w:tcPr>
            <w:tcW w:w="1408" w:type="dxa"/>
            <w:vAlign w:val="center"/>
          </w:tcPr>
          <w:p>
            <w:pPr>
              <w:widowControl/>
              <w:jc w:val="center"/>
              <w:rPr>
                <w:sz w:val="24"/>
                <w:szCs w:val="24"/>
              </w:rPr>
            </w:pPr>
            <w:r>
              <w:rPr>
                <w:sz w:val="24"/>
                <w:szCs w:val="24"/>
              </w:rPr>
              <w:t>±5 %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08" w:type="dxa"/>
            <w:vAlign w:val="center"/>
          </w:tcPr>
          <w:p>
            <w:pPr>
              <w:widowControl/>
              <w:jc w:val="center"/>
              <w:rPr>
                <w:szCs w:val="21"/>
              </w:rPr>
            </w:pPr>
            <w:r>
              <w:rPr>
                <w:rFonts w:hint="eastAsia"/>
                <w:szCs w:val="21"/>
              </w:rPr>
              <w:t>9</w:t>
            </w:r>
          </w:p>
        </w:tc>
        <w:tc>
          <w:tcPr>
            <w:tcW w:w="1313" w:type="dxa"/>
            <w:vAlign w:val="center"/>
          </w:tcPr>
          <w:p>
            <w:pPr>
              <w:widowControl/>
              <w:jc w:val="center"/>
              <w:rPr>
                <w:szCs w:val="21"/>
                <w:lang w:val="nl-NL"/>
              </w:rPr>
            </w:pPr>
            <w:r>
              <w:rPr>
                <w:rFonts w:hint="eastAsia"/>
                <w:szCs w:val="21"/>
                <w:lang w:val="nl-NL"/>
              </w:rPr>
              <w:t>比对测量相关系数r</w:t>
            </w:r>
          </w:p>
        </w:tc>
        <w:tc>
          <w:tcPr>
            <w:tcW w:w="1422" w:type="dxa"/>
            <w:vAlign w:val="center"/>
          </w:tcPr>
          <w:p>
            <w:pPr>
              <w:widowControl/>
              <w:jc w:val="center"/>
              <w:rPr>
                <w:szCs w:val="21"/>
              </w:rPr>
            </w:pPr>
            <w:r>
              <w:rPr>
                <w:rFonts w:hint="eastAsia"/>
                <w:szCs w:val="21"/>
              </w:rPr>
              <w:t>≥0.8</w:t>
            </w:r>
          </w:p>
        </w:tc>
        <w:tc>
          <w:tcPr>
            <w:tcW w:w="1422" w:type="dxa"/>
            <w:vAlign w:val="center"/>
          </w:tcPr>
          <w:p>
            <w:pPr>
              <w:widowControl/>
              <w:jc w:val="center"/>
              <w:rPr>
                <w:szCs w:val="21"/>
              </w:rPr>
            </w:pPr>
            <w:r>
              <w:rPr>
                <w:rFonts w:hint="eastAsia"/>
                <w:szCs w:val="21"/>
              </w:rPr>
              <w:t>≥0.8</w:t>
            </w:r>
          </w:p>
        </w:tc>
        <w:tc>
          <w:tcPr>
            <w:tcW w:w="1422" w:type="dxa"/>
            <w:vAlign w:val="center"/>
          </w:tcPr>
          <w:p>
            <w:pPr>
              <w:widowControl/>
              <w:jc w:val="center"/>
              <w:rPr>
                <w:szCs w:val="21"/>
              </w:rPr>
            </w:pPr>
            <w:r>
              <w:rPr>
                <w:rFonts w:hint="eastAsia"/>
                <w:szCs w:val="21"/>
              </w:rPr>
              <w:t>≥0.8</w:t>
            </w:r>
          </w:p>
        </w:tc>
        <w:tc>
          <w:tcPr>
            <w:tcW w:w="1408" w:type="dxa"/>
            <w:vAlign w:val="center"/>
          </w:tcPr>
          <w:p>
            <w:pPr>
              <w:widowControl/>
              <w:jc w:val="center"/>
              <w:rPr>
                <w:szCs w:val="21"/>
              </w:rPr>
            </w:pPr>
            <w:r>
              <w:rPr>
                <w:rFonts w:hint="eastAsia"/>
                <w:szCs w:val="21"/>
              </w:rPr>
              <w:t>≥0.9</w:t>
            </w:r>
          </w:p>
        </w:tc>
        <w:tc>
          <w:tcPr>
            <w:tcW w:w="1408" w:type="dxa"/>
            <w:vAlign w:val="center"/>
          </w:tcPr>
          <w:p>
            <w:pPr>
              <w:widowControl/>
              <w:jc w:val="center"/>
              <w:rPr>
                <w:szCs w:val="21"/>
              </w:rPr>
            </w:pPr>
            <w:r>
              <w:rPr>
                <w:rFonts w:hint="eastAsia"/>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8" w:type="dxa"/>
            <w:vAlign w:val="center"/>
          </w:tcPr>
          <w:p>
            <w:pPr>
              <w:widowControl/>
              <w:jc w:val="center"/>
              <w:rPr>
                <w:szCs w:val="21"/>
              </w:rPr>
            </w:pPr>
            <w:r>
              <w:rPr>
                <w:rFonts w:hint="eastAsia"/>
                <w:szCs w:val="21"/>
              </w:rPr>
              <w:t>10</w:t>
            </w:r>
          </w:p>
        </w:tc>
        <w:tc>
          <w:tcPr>
            <w:tcW w:w="1313" w:type="dxa"/>
            <w:vAlign w:val="center"/>
          </w:tcPr>
          <w:p>
            <w:pPr>
              <w:pStyle w:val="19"/>
              <w:shd w:val="clear" w:color="auto" w:fill="FFFFFF"/>
              <w:adjustRightInd w:val="0"/>
              <w:snapToGrid w:val="0"/>
              <w:rPr>
                <w:sz w:val="21"/>
                <w:szCs w:val="21"/>
                <w:shd w:val="clear" w:color="auto" w:fill="FFFFFF"/>
              </w:rPr>
            </w:pPr>
            <w:r>
              <w:rPr>
                <w:sz w:val="21"/>
                <w:szCs w:val="21"/>
                <w:shd w:val="clear" w:color="auto" w:fill="FFFFFF"/>
              </w:rPr>
              <w:t>使用环境温度（℃）</w:t>
            </w:r>
          </w:p>
        </w:tc>
        <w:tc>
          <w:tcPr>
            <w:tcW w:w="1422" w:type="dxa"/>
            <w:vAlign w:val="center"/>
          </w:tcPr>
          <w:p>
            <w:pPr>
              <w:widowControl/>
              <w:jc w:val="center"/>
              <w:rPr>
                <w:szCs w:val="21"/>
              </w:rPr>
            </w:pPr>
            <w:r>
              <w:rPr>
                <w:szCs w:val="21"/>
              </w:rPr>
              <w:t>-20～55</w:t>
            </w:r>
          </w:p>
        </w:tc>
        <w:tc>
          <w:tcPr>
            <w:tcW w:w="1422" w:type="dxa"/>
            <w:vAlign w:val="center"/>
          </w:tcPr>
          <w:p>
            <w:pPr>
              <w:widowControl/>
              <w:jc w:val="center"/>
              <w:rPr>
                <w:szCs w:val="21"/>
              </w:rPr>
            </w:pPr>
            <w:r>
              <w:rPr>
                <w:szCs w:val="21"/>
              </w:rPr>
              <w:t>-20～55</w:t>
            </w:r>
          </w:p>
        </w:tc>
        <w:tc>
          <w:tcPr>
            <w:tcW w:w="1422" w:type="dxa"/>
            <w:vAlign w:val="center"/>
          </w:tcPr>
          <w:p>
            <w:pPr>
              <w:widowControl/>
              <w:jc w:val="center"/>
              <w:rPr>
                <w:szCs w:val="21"/>
              </w:rPr>
            </w:pPr>
            <w:r>
              <w:rPr>
                <w:szCs w:val="21"/>
              </w:rPr>
              <w:t>-20～55</w:t>
            </w:r>
          </w:p>
        </w:tc>
        <w:tc>
          <w:tcPr>
            <w:tcW w:w="1408" w:type="dxa"/>
            <w:vAlign w:val="center"/>
          </w:tcPr>
          <w:p>
            <w:pPr>
              <w:widowControl/>
              <w:jc w:val="center"/>
              <w:rPr>
                <w:szCs w:val="21"/>
              </w:rPr>
            </w:pPr>
            <w:r>
              <w:rPr>
                <w:szCs w:val="21"/>
              </w:rPr>
              <w:t>-20～55</w:t>
            </w:r>
          </w:p>
        </w:tc>
        <w:tc>
          <w:tcPr>
            <w:tcW w:w="1408" w:type="dxa"/>
            <w:vAlign w:val="center"/>
          </w:tcPr>
          <w:p>
            <w:pPr>
              <w:widowControl/>
              <w:jc w:val="center"/>
              <w:rPr>
                <w:szCs w:val="21"/>
              </w:rPr>
            </w:pPr>
            <w:r>
              <w:rPr>
                <w:szCs w:val="21"/>
              </w:rPr>
              <w:t>-20～55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8" w:type="dxa"/>
            <w:vAlign w:val="center"/>
          </w:tcPr>
          <w:p>
            <w:pPr>
              <w:widowControl/>
              <w:jc w:val="center"/>
              <w:rPr>
                <w:szCs w:val="21"/>
              </w:rPr>
            </w:pPr>
            <w:r>
              <w:rPr>
                <w:rFonts w:hint="eastAsia"/>
                <w:szCs w:val="21"/>
              </w:rPr>
              <w:t>11</w:t>
            </w:r>
          </w:p>
        </w:tc>
        <w:tc>
          <w:tcPr>
            <w:tcW w:w="1313" w:type="dxa"/>
            <w:vAlign w:val="center"/>
          </w:tcPr>
          <w:p>
            <w:pPr>
              <w:pStyle w:val="19"/>
              <w:shd w:val="clear" w:color="auto" w:fill="FFFFFF"/>
              <w:adjustRightInd w:val="0"/>
              <w:snapToGrid w:val="0"/>
              <w:rPr>
                <w:sz w:val="21"/>
                <w:szCs w:val="21"/>
                <w:shd w:val="clear" w:color="auto" w:fill="FFFFFF"/>
              </w:rPr>
            </w:pPr>
            <w:r>
              <w:rPr>
                <w:sz w:val="21"/>
                <w:szCs w:val="21"/>
                <w:shd w:val="clear" w:color="auto" w:fill="FFFFFF"/>
              </w:rPr>
              <w:t>使用环境湿度（RH）</w:t>
            </w:r>
          </w:p>
        </w:tc>
        <w:tc>
          <w:tcPr>
            <w:tcW w:w="1422" w:type="dxa"/>
            <w:vAlign w:val="center"/>
          </w:tcPr>
          <w:p>
            <w:pPr>
              <w:widowControl/>
              <w:jc w:val="center"/>
              <w:rPr>
                <w:szCs w:val="21"/>
              </w:rPr>
            </w:pPr>
            <w:r>
              <w:rPr>
                <w:szCs w:val="21"/>
              </w:rPr>
              <w:t>RH(15%-95%)</w:t>
            </w:r>
          </w:p>
        </w:tc>
        <w:tc>
          <w:tcPr>
            <w:tcW w:w="1422" w:type="dxa"/>
            <w:vAlign w:val="center"/>
          </w:tcPr>
          <w:p>
            <w:pPr>
              <w:widowControl/>
              <w:jc w:val="center"/>
              <w:rPr>
                <w:szCs w:val="21"/>
              </w:rPr>
            </w:pPr>
            <w:r>
              <w:rPr>
                <w:szCs w:val="21"/>
              </w:rPr>
              <w:t>RH(15%-95%)</w:t>
            </w:r>
          </w:p>
        </w:tc>
        <w:tc>
          <w:tcPr>
            <w:tcW w:w="1422" w:type="dxa"/>
            <w:vAlign w:val="center"/>
          </w:tcPr>
          <w:p>
            <w:pPr>
              <w:widowControl/>
              <w:jc w:val="center"/>
              <w:rPr>
                <w:szCs w:val="21"/>
              </w:rPr>
            </w:pPr>
            <w:r>
              <w:rPr>
                <w:szCs w:val="21"/>
              </w:rPr>
              <w:t>RH(15%-95%)</w:t>
            </w:r>
          </w:p>
        </w:tc>
        <w:tc>
          <w:tcPr>
            <w:tcW w:w="1408" w:type="dxa"/>
            <w:vAlign w:val="center"/>
          </w:tcPr>
          <w:p>
            <w:pPr>
              <w:widowControl/>
              <w:jc w:val="center"/>
              <w:rPr>
                <w:szCs w:val="21"/>
              </w:rPr>
            </w:pPr>
            <w:r>
              <w:rPr>
                <w:szCs w:val="21"/>
              </w:rPr>
              <w:t>RH(15%-95%)</w:t>
            </w:r>
          </w:p>
        </w:tc>
        <w:tc>
          <w:tcPr>
            <w:tcW w:w="1408" w:type="dxa"/>
            <w:vAlign w:val="center"/>
          </w:tcPr>
          <w:p>
            <w:pPr>
              <w:widowControl/>
              <w:jc w:val="center"/>
              <w:rPr>
                <w:szCs w:val="21"/>
              </w:rPr>
            </w:pPr>
            <w:r>
              <w:rPr>
                <w:szCs w:val="21"/>
              </w:rPr>
              <w:t>RH(15%-95%)</w:t>
            </w:r>
          </w:p>
        </w:tc>
      </w:tr>
    </w:tbl>
    <w:p>
      <w:pPr>
        <w:autoSpaceDE/>
        <w:autoSpaceDN/>
        <w:spacing w:line="360" w:lineRule="auto"/>
        <w:ind w:firstLine="480" w:firstLineChars="200"/>
        <w:rPr>
          <w:sz w:val="24"/>
          <w:szCs w:val="21"/>
        </w:rPr>
      </w:pPr>
      <w:r>
        <w:rPr>
          <w:rFonts w:hint="eastAsia"/>
          <w:sz w:val="24"/>
          <w:szCs w:val="21"/>
        </w:rPr>
        <w:t>3.1.2两参数空气质量微型站</w:t>
      </w:r>
    </w:p>
    <w:p>
      <w:pPr>
        <w:autoSpaceDE/>
        <w:autoSpaceDN/>
        <w:spacing w:line="360" w:lineRule="auto"/>
        <w:ind w:firstLine="480" w:firstLineChars="200"/>
        <w:rPr>
          <w:sz w:val="24"/>
          <w:szCs w:val="21"/>
        </w:rPr>
      </w:pPr>
      <w:r>
        <w:rPr>
          <w:rFonts w:hint="eastAsia"/>
          <w:sz w:val="24"/>
          <w:szCs w:val="21"/>
        </w:rPr>
        <w:t>两参数空气质量微型站可在线监测大气环境中PM</w:t>
      </w:r>
      <w:r>
        <w:rPr>
          <w:rFonts w:hint="eastAsia"/>
          <w:sz w:val="24"/>
          <w:szCs w:val="21"/>
          <w:vertAlign w:val="subscript"/>
        </w:rPr>
        <w:t>10</w:t>
      </w:r>
      <w:r>
        <w:rPr>
          <w:rFonts w:hint="eastAsia"/>
          <w:sz w:val="24"/>
          <w:szCs w:val="21"/>
        </w:rPr>
        <w:t>、PM</w:t>
      </w:r>
      <w:r>
        <w:rPr>
          <w:rFonts w:hint="eastAsia"/>
          <w:sz w:val="24"/>
          <w:szCs w:val="21"/>
          <w:vertAlign w:val="subscript"/>
        </w:rPr>
        <w:t>2.5</w:t>
      </w:r>
      <w:r>
        <w:rPr>
          <w:rFonts w:hint="eastAsia"/>
          <w:sz w:val="24"/>
          <w:szCs w:val="21"/>
        </w:rPr>
        <w:t>。</w:t>
      </w:r>
    </w:p>
    <w:p>
      <w:pPr>
        <w:autoSpaceDE/>
        <w:autoSpaceDN/>
        <w:spacing w:line="360" w:lineRule="auto"/>
        <w:ind w:firstLine="480" w:firstLineChars="200"/>
        <w:rPr>
          <w:sz w:val="24"/>
          <w:szCs w:val="21"/>
        </w:rPr>
      </w:pPr>
      <w:r>
        <w:rPr>
          <w:rFonts w:hint="eastAsia"/>
          <w:sz w:val="24"/>
          <w:szCs w:val="21"/>
        </w:rPr>
        <w:t>微型站设备基于有线、无线通讯技术，具有GPS定位，应能与服务器之间保密安全的通讯，将监测数据汇集到“云平台”。</w:t>
      </w:r>
    </w:p>
    <w:p>
      <w:pPr>
        <w:autoSpaceDE/>
        <w:autoSpaceDN/>
        <w:spacing w:line="360" w:lineRule="auto"/>
        <w:ind w:firstLine="480" w:firstLineChars="200"/>
        <w:rPr>
          <w:sz w:val="24"/>
          <w:szCs w:val="21"/>
        </w:rPr>
      </w:pPr>
      <w:r>
        <w:rPr>
          <w:rFonts w:hint="eastAsia"/>
          <w:sz w:val="24"/>
          <w:szCs w:val="21"/>
        </w:rPr>
        <w:t>通过微型站高密度布点，结合云计算平台，可实时掌握区域内污染物的时空分布，发现重点污染源，找到合理的减排点，实行精准管理。</w:t>
      </w:r>
    </w:p>
    <w:p>
      <w:pPr>
        <w:widowControl/>
        <w:autoSpaceDE/>
        <w:autoSpaceDN/>
        <w:spacing w:line="360" w:lineRule="auto"/>
        <w:ind w:firstLine="480" w:firstLineChars="200"/>
        <w:rPr>
          <w:sz w:val="24"/>
          <w:szCs w:val="21"/>
        </w:rPr>
      </w:pPr>
      <w:r>
        <w:rPr>
          <w:rFonts w:hint="eastAsia"/>
          <w:sz w:val="24"/>
          <w:szCs w:val="21"/>
        </w:rPr>
        <w:t>主要技术指标：</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333" w:type="pct"/>
            <w:vAlign w:val="center"/>
          </w:tcPr>
          <w:p>
            <w:pPr>
              <w:widowControl/>
              <w:jc w:val="center"/>
              <w:rPr>
                <w:sz w:val="21"/>
                <w:szCs w:val="21"/>
              </w:rPr>
            </w:pPr>
            <w:r>
              <w:rPr>
                <w:rFonts w:hint="eastAsia"/>
                <w:sz w:val="21"/>
                <w:szCs w:val="21"/>
              </w:rPr>
              <w:t>监测参数</w:t>
            </w:r>
          </w:p>
        </w:tc>
        <w:tc>
          <w:tcPr>
            <w:tcW w:w="3666" w:type="pct"/>
          </w:tcPr>
          <w:p>
            <w:pPr>
              <w:widowControl/>
              <w:snapToGrid w:val="0"/>
              <w:jc w:val="center"/>
              <w:rPr>
                <w:sz w:val="21"/>
                <w:szCs w:val="21"/>
              </w:rPr>
            </w:pPr>
            <w:r>
              <w:rPr>
                <w:rFonts w:hint="eastAsia"/>
                <w:sz w:val="21"/>
                <w:szCs w:val="21"/>
              </w:rPr>
              <w:t>PM</w:t>
            </w:r>
            <w:r>
              <w:rPr>
                <w:rFonts w:hint="eastAsia"/>
                <w:sz w:val="21"/>
                <w:szCs w:val="21"/>
                <w:vertAlign w:val="subscript"/>
              </w:rPr>
              <w:t>2.5</w:t>
            </w:r>
            <w:r>
              <w:rPr>
                <w:rFonts w:hint="eastAsia"/>
                <w:sz w:val="21"/>
                <w:szCs w:val="21"/>
              </w:rPr>
              <w:t>、PM</w:t>
            </w:r>
            <w:r>
              <w:rPr>
                <w:rFonts w:hint="eastAsia"/>
                <w:sz w:val="21"/>
                <w:szCs w:val="21"/>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33" w:type="pct"/>
            <w:vAlign w:val="center"/>
          </w:tcPr>
          <w:p>
            <w:pPr>
              <w:widowControl/>
              <w:jc w:val="center"/>
              <w:rPr>
                <w:sz w:val="21"/>
                <w:szCs w:val="21"/>
              </w:rPr>
            </w:pPr>
            <w:r>
              <w:rPr>
                <w:rFonts w:hint="eastAsia"/>
                <w:sz w:val="21"/>
                <w:szCs w:val="21"/>
              </w:rPr>
              <w:t>时间分辨率</w:t>
            </w:r>
          </w:p>
        </w:tc>
        <w:tc>
          <w:tcPr>
            <w:tcW w:w="3666" w:type="pct"/>
          </w:tcPr>
          <w:p>
            <w:pPr>
              <w:widowControl/>
              <w:jc w:val="center"/>
              <w:rPr>
                <w:sz w:val="21"/>
                <w:szCs w:val="21"/>
              </w:rPr>
            </w:pPr>
            <w:r>
              <w:rPr>
                <w:rFonts w:hint="eastAsia"/>
                <w:sz w:val="21"/>
                <w:szCs w:val="21"/>
              </w:rPr>
              <w:t>≤60s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pct"/>
            <w:vAlign w:val="center"/>
          </w:tcPr>
          <w:p>
            <w:pPr>
              <w:widowControl/>
              <w:jc w:val="center"/>
              <w:rPr>
                <w:sz w:val="21"/>
                <w:szCs w:val="21"/>
              </w:rPr>
            </w:pPr>
            <w:r>
              <w:rPr>
                <w:rFonts w:hint="eastAsia"/>
                <w:sz w:val="21"/>
                <w:szCs w:val="21"/>
              </w:rPr>
              <w:t>电源</w:t>
            </w:r>
          </w:p>
        </w:tc>
        <w:tc>
          <w:tcPr>
            <w:tcW w:w="3666" w:type="pct"/>
          </w:tcPr>
          <w:p>
            <w:pPr>
              <w:widowControl/>
              <w:jc w:val="center"/>
              <w:rPr>
                <w:sz w:val="21"/>
                <w:szCs w:val="21"/>
              </w:rPr>
            </w:pPr>
            <w:r>
              <w:rPr>
                <w:rFonts w:hint="eastAsia"/>
                <w:sz w:val="21"/>
                <w:szCs w:val="21"/>
              </w:rPr>
              <w:t>市政（220V）供电或太阳能供电（12V）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pct"/>
            <w:vAlign w:val="center"/>
          </w:tcPr>
          <w:p>
            <w:pPr>
              <w:widowControl/>
              <w:jc w:val="center"/>
              <w:rPr>
                <w:sz w:val="21"/>
                <w:szCs w:val="21"/>
              </w:rPr>
            </w:pPr>
            <w:r>
              <w:rPr>
                <w:rFonts w:hint="eastAsia"/>
                <w:sz w:val="21"/>
                <w:szCs w:val="21"/>
              </w:rPr>
              <w:t>工作环境</w:t>
            </w:r>
          </w:p>
        </w:tc>
        <w:tc>
          <w:tcPr>
            <w:tcW w:w="3666" w:type="pct"/>
          </w:tcPr>
          <w:p>
            <w:pPr>
              <w:widowControl/>
              <w:jc w:val="center"/>
              <w:rPr>
                <w:sz w:val="21"/>
                <w:szCs w:val="21"/>
              </w:rPr>
            </w:pPr>
            <w:r>
              <w:rPr>
                <w:rFonts w:hint="eastAsia"/>
                <w:sz w:val="21"/>
                <w:szCs w:val="21"/>
              </w:rPr>
              <w:t>T（-20-55）°C、RH（15%-95%）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pct"/>
            <w:vAlign w:val="center"/>
          </w:tcPr>
          <w:p>
            <w:pPr>
              <w:widowControl/>
              <w:jc w:val="center"/>
              <w:rPr>
                <w:sz w:val="21"/>
                <w:szCs w:val="21"/>
              </w:rPr>
            </w:pPr>
            <w:r>
              <w:rPr>
                <w:rFonts w:hint="eastAsia"/>
                <w:sz w:val="21"/>
                <w:szCs w:val="21"/>
              </w:rPr>
              <w:t>通讯方式</w:t>
            </w:r>
          </w:p>
        </w:tc>
        <w:tc>
          <w:tcPr>
            <w:tcW w:w="3666" w:type="pct"/>
          </w:tcPr>
          <w:p>
            <w:pPr>
              <w:widowControl/>
              <w:jc w:val="center"/>
              <w:rPr>
                <w:sz w:val="21"/>
                <w:szCs w:val="21"/>
              </w:rPr>
            </w:pPr>
            <w:r>
              <w:rPr>
                <w:rFonts w:hint="eastAsia"/>
                <w:sz w:val="21"/>
                <w:szCs w:val="21"/>
              </w:rPr>
              <w:t>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pct"/>
            <w:vAlign w:val="center"/>
          </w:tcPr>
          <w:p>
            <w:pPr>
              <w:widowControl/>
              <w:jc w:val="center"/>
              <w:rPr>
                <w:sz w:val="21"/>
                <w:szCs w:val="21"/>
              </w:rPr>
            </w:pPr>
            <w:r>
              <w:rPr>
                <w:rFonts w:hint="eastAsia"/>
                <w:sz w:val="21"/>
                <w:szCs w:val="21"/>
              </w:rPr>
              <w:t>电池</w:t>
            </w:r>
          </w:p>
        </w:tc>
        <w:tc>
          <w:tcPr>
            <w:tcW w:w="3666" w:type="pct"/>
          </w:tcPr>
          <w:p>
            <w:pPr>
              <w:widowControl/>
              <w:jc w:val="center"/>
              <w:rPr>
                <w:sz w:val="21"/>
                <w:szCs w:val="21"/>
              </w:rPr>
            </w:pPr>
            <w:r>
              <w:rPr>
                <w:rFonts w:hint="eastAsia"/>
                <w:sz w:val="21"/>
                <w:szCs w:val="21"/>
              </w:rPr>
              <w:t>铅酸蓄电池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pct"/>
            <w:vAlign w:val="center"/>
          </w:tcPr>
          <w:p>
            <w:pPr>
              <w:widowControl/>
              <w:jc w:val="center"/>
              <w:rPr>
                <w:sz w:val="21"/>
                <w:szCs w:val="21"/>
              </w:rPr>
            </w:pPr>
            <w:r>
              <w:rPr>
                <w:rFonts w:hint="eastAsia"/>
                <w:sz w:val="21"/>
                <w:szCs w:val="21"/>
              </w:rPr>
              <w:t>工作时间</w:t>
            </w:r>
          </w:p>
        </w:tc>
        <w:tc>
          <w:tcPr>
            <w:tcW w:w="3666" w:type="pct"/>
          </w:tcPr>
          <w:p>
            <w:pPr>
              <w:widowControl/>
              <w:jc w:val="center"/>
              <w:rPr>
                <w:sz w:val="21"/>
                <w:szCs w:val="21"/>
              </w:rPr>
            </w:pPr>
            <w:r>
              <w:rPr>
                <w:rFonts w:hint="eastAsia"/>
                <w:sz w:val="21"/>
                <w:szCs w:val="21"/>
              </w:rPr>
              <w:t>无外接电源连续工作30天（视频除外）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pct"/>
            <w:vMerge w:val="restart"/>
            <w:vAlign w:val="center"/>
          </w:tcPr>
          <w:p>
            <w:pPr>
              <w:widowControl/>
              <w:jc w:val="center"/>
              <w:rPr>
                <w:sz w:val="21"/>
                <w:szCs w:val="21"/>
              </w:rPr>
            </w:pPr>
            <w:r>
              <w:rPr>
                <w:rFonts w:hint="eastAsia"/>
                <w:sz w:val="21"/>
                <w:szCs w:val="21"/>
              </w:rPr>
              <w:t>产品特点</w:t>
            </w:r>
          </w:p>
        </w:tc>
        <w:tc>
          <w:tcPr>
            <w:tcW w:w="3666" w:type="pct"/>
          </w:tcPr>
          <w:p>
            <w:pPr>
              <w:widowControl/>
              <w:jc w:val="center"/>
              <w:rPr>
                <w:sz w:val="21"/>
                <w:szCs w:val="21"/>
              </w:rPr>
            </w:pPr>
            <w:r>
              <w:rPr>
                <w:rFonts w:hint="eastAsia"/>
                <w:sz w:val="21"/>
                <w:szCs w:val="21"/>
              </w:rPr>
              <w:t>成本低、体积小巧、易于部署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pct"/>
            <w:vMerge w:val="continue"/>
          </w:tcPr>
          <w:p>
            <w:pPr>
              <w:jc w:val="center"/>
              <w:rPr>
                <w:sz w:val="21"/>
                <w:szCs w:val="21"/>
              </w:rPr>
            </w:pPr>
          </w:p>
        </w:tc>
        <w:tc>
          <w:tcPr>
            <w:tcW w:w="3666" w:type="pct"/>
          </w:tcPr>
          <w:p>
            <w:pPr>
              <w:widowControl/>
              <w:jc w:val="center"/>
              <w:rPr>
                <w:sz w:val="21"/>
                <w:szCs w:val="21"/>
              </w:rPr>
            </w:pPr>
            <w:r>
              <w:rPr>
                <w:rFonts w:hint="eastAsia"/>
                <w:sz w:val="21"/>
                <w:szCs w:val="21"/>
              </w:rPr>
              <w:t>低功耗无线通信设计</w:t>
            </w:r>
          </w:p>
        </w:tc>
      </w:tr>
    </w:tbl>
    <w:p>
      <w:pPr>
        <w:widowControl/>
        <w:textAlignment w:val="center"/>
        <w:rPr>
          <w:rFonts w:ascii="Times New Roman" w:hAnsi="Times New Roman" w:cs="Times New Roman"/>
          <w:szCs w:val="21"/>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002"/>
        <w:gridCol w:w="2297"/>
        <w:gridCol w:w="2366"/>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widowControl/>
              <w:jc w:val="center"/>
              <w:rPr>
                <w:sz w:val="21"/>
                <w:szCs w:val="21"/>
              </w:rPr>
            </w:pPr>
            <w:r>
              <w:rPr>
                <w:rFonts w:hint="eastAsia"/>
                <w:sz w:val="21"/>
                <w:szCs w:val="21"/>
              </w:rPr>
              <w:t>颗粒物性能指标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vAlign w:val="center"/>
          </w:tcPr>
          <w:p>
            <w:pPr>
              <w:widowControl/>
              <w:jc w:val="center"/>
              <w:rPr>
                <w:sz w:val="21"/>
                <w:szCs w:val="21"/>
              </w:rPr>
            </w:pPr>
            <w:r>
              <w:rPr>
                <w:rFonts w:hint="eastAsia"/>
                <w:sz w:val="21"/>
                <w:szCs w:val="21"/>
              </w:rPr>
              <w:t>序号</w:t>
            </w:r>
          </w:p>
        </w:tc>
        <w:tc>
          <w:tcPr>
            <w:tcW w:w="1775" w:type="pct"/>
            <w:gridSpan w:val="2"/>
            <w:vAlign w:val="center"/>
          </w:tcPr>
          <w:p>
            <w:pPr>
              <w:widowControl/>
              <w:jc w:val="center"/>
              <w:rPr>
                <w:sz w:val="21"/>
                <w:szCs w:val="21"/>
              </w:rPr>
            </w:pPr>
            <w:r>
              <w:rPr>
                <w:rFonts w:hint="eastAsia"/>
                <w:sz w:val="21"/>
                <w:szCs w:val="21"/>
              </w:rPr>
              <w:t>项目</w:t>
            </w:r>
          </w:p>
        </w:tc>
        <w:tc>
          <w:tcPr>
            <w:tcW w:w="1273" w:type="pct"/>
            <w:vAlign w:val="center"/>
          </w:tcPr>
          <w:p>
            <w:pPr>
              <w:widowControl/>
              <w:jc w:val="center"/>
              <w:rPr>
                <w:sz w:val="21"/>
                <w:szCs w:val="21"/>
              </w:rPr>
            </w:pPr>
            <w:r>
              <w:rPr>
                <w:rFonts w:hint="eastAsia"/>
                <w:sz w:val="21"/>
                <w:szCs w:val="21"/>
              </w:rPr>
              <w:t>PM</w:t>
            </w:r>
            <w:r>
              <w:rPr>
                <w:rFonts w:hint="eastAsia"/>
                <w:sz w:val="21"/>
                <w:szCs w:val="21"/>
                <w:vertAlign w:val="subscript"/>
              </w:rPr>
              <w:t>2.5</w:t>
            </w:r>
          </w:p>
        </w:tc>
        <w:tc>
          <w:tcPr>
            <w:tcW w:w="1416" w:type="pct"/>
            <w:vAlign w:val="center"/>
          </w:tcPr>
          <w:p>
            <w:pPr>
              <w:widowControl/>
              <w:jc w:val="center"/>
              <w:rPr>
                <w:sz w:val="21"/>
                <w:szCs w:val="21"/>
              </w:rPr>
            </w:pPr>
            <w:r>
              <w:rPr>
                <w:rFonts w:hint="eastAsia"/>
                <w:sz w:val="21"/>
                <w:szCs w:val="21"/>
              </w:rPr>
              <w:t>PM</w:t>
            </w:r>
            <w:r>
              <w:rPr>
                <w:rFonts w:hint="eastAsia"/>
                <w:sz w:val="21"/>
                <w:szCs w:val="21"/>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vAlign w:val="center"/>
          </w:tcPr>
          <w:p>
            <w:pPr>
              <w:widowControl/>
              <w:jc w:val="center"/>
              <w:rPr>
                <w:sz w:val="21"/>
                <w:szCs w:val="21"/>
              </w:rPr>
            </w:pPr>
            <w:r>
              <w:rPr>
                <w:rFonts w:hint="eastAsia"/>
                <w:sz w:val="21"/>
                <w:szCs w:val="21"/>
              </w:rPr>
              <w:t>1</w:t>
            </w:r>
          </w:p>
        </w:tc>
        <w:tc>
          <w:tcPr>
            <w:tcW w:w="1775" w:type="pct"/>
            <w:gridSpan w:val="2"/>
            <w:vAlign w:val="center"/>
          </w:tcPr>
          <w:p>
            <w:pPr>
              <w:widowControl/>
              <w:jc w:val="center"/>
              <w:rPr>
                <w:sz w:val="21"/>
                <w:szCs w:val="21"/>
              </w:rPr>
            </w:pPr>
            <w:r>
              <w:rPr>
                <w:rFonts w:hint="eastAsia"/>
                <w:sz w:val="21"/>
                <w:szCs w:val="21"/>
              </w:rPr>
              <w:t>测量范围</w:t>
            </w:r>
          </w:p>
        </w:tc>
        <w:tc>
          <w:tcPr>
            <w:tcW w:w="1273" w:type="pct"/>
          </w:tcPr>
          <w:p>
            <w:pPr>
              <w:widowControl/>
              <w:jc w:val="center"/>
              <w:rPr>
                <w:sz w:val="21"/>
                <w:szCs w:val="21"/>
              </w:rPr>
            </w:pPr>
            <w:r>
              <w:rPr>
                <w:rFonts w:hint="eastAsia"/>
                <w:sz w:val="21"/>
                <w:szCs w:val="21"/>
              </w:rPr>
              <w:t>（0～2000）μg/m3</w:t>
            </w:r>
          </w:p>
        </w:tc>
        <w:tc>
          <w:tcPr>
            <w:tcW w:w="1416" w:type="pct"/>
            <w:vAlign w:val="center"/>
          </w:tcPr>
          <w:p>
            <w:pPr>
              <w:widowControl/>
              <w:jc w:val="center"/>
              <w:rPr>
                <w:sz w:val="21"/>
                <w:szCs w:val="21"/>
              </w:rPr>
            </w:pPr>
            <w:r>
              <w:rPr>
                <w:rFonts w:hint="eastAsia"/>
                <w:sz w:val="21"/>
                <w:szCs w:val="21"/>
              </w:rPr>
              <w:t>（0～2000）μg/m3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vAlign w:val="center"/>
          </w:tcPr>
          <w:p>
            <w:pPr>
              <w:widowControl/>
              <w:jc w:val="center"/>
              <w:rPr>
                <w:sz w:val="21"/>
                <w:szCs w:val="21"/>
              </w:rPr>
            </w:pPr>
            <w:r>
              <w:rPr>
                <w:rFonts w:hint="eastAsia"/>
                <w:sz w:val="21"/>
                <w:szCs w:val="21"/>
              </w:rPr>
              <w:t>2</w:t>
            </w:r>
          </w:p>
        </w:tc>
        <w:tc>
          <w:tcPr>
            <w:tcW w:w="1775" w:type="pct"/>
            <w:gridSpan w:val="2"/>
            <w:vAlign w:val="center"/>
          </w:tcPr>
          <w:p>
            <w:pPr>
              <w:widowControl/>
              <w:jc w:val="center"/>
              <w:rPr>
                <w:sz w:val="21"/>
                <w:szCs w:val="21"/>
              </w:rPr>
            </w:pPr>
            <w:r>
              <w:rPr>
                <w:rFonts w:hint="eastAsia"/>
                <w:sz w:val="21"/>
                <w:szCs w:val="21"/>
              </w:rPr>
              <w:t>最小分辨率</w:t>
            </w:r>
          </w:p>
        </w:tc>
        <w:tc>
          <w:tcPr>
            <w:tcW w:w="1273" w:type="pct"/>
          </w:tcPr>
          <w:p>
            <w:pPr>
              <w:widowControl/>
              <w:jc w:val="center"/>
              <w:rPr>
                <w:sz w:val="21"/>
                <w:szCs w:val="21"/>
              </w:rPr>
            </w:pPr>
            <w:r>
              <w:rPr>
                <w:rFonts w:hint="eastAsia"/>
                <w:sz w:val="21"/>
                <w:szCs w:val="21"/>
              </w:rPr>
              <w:t>1μg/m3</w:t>
            </w:r>
          </w:p>
        </w:tc>
        <w:tc>
          <w:tcPr>
            <w:tcW w:w="1416" w:type="pct"/>
            <w:vAlign w:val="center"/>
          </w:tcPr>
          <w:p>
            <w:pPr>
              <w:widowControl/>
              <w:jc w:val="center"/>
              <w:rPr>
                <w:sz w:val="21"/>
                <w:szCs w:val="21"/>
              </w:rPr>
            </w:pPr>
            <w:r>
              <w:rPr>
                <w:rFonts w:hint="eastAsia"/>
                <w:sz w:val="21"/>
                <w:szCs w:val="21"/>
              </w:rPr>
              <w:t>1μg/m3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vAlign w:val="center"/>
          </w:tcPr>
          <w:p>
            <w:pPr>
              <w:widowControl/>
              <w:jc w:val="center"/>
              <w:rPr>
                <w:sz w:val="21"/>
                <w:szCs w:val="21"/>
              </w:rPr>
            </w:pPr>
            <w:r>
              <w:rPr>
                <w:rFonts w:hint="eastAsia"/>
                <w:sz w:val="21"/>
                <w:szCs w:val="21"/>
              </w:rPr>
              <w:t>3</w:t>
            </w:r>
          </w:p>
        </w:tc>
        <w:tc>
          <w:tcPr>
            <w:tcW w:w="1775" w:type="pct"/>
            <w:gridSpan w:val="2"/>
            <w:vAlign w:val="center"/>
          </w:tcPr>
          <w:p>
            <w:pPr>
              <w:widowControl/>
              <w:jc w:val="center"/>
              <w:rPr>
                <w:sz w:val="21"/>
                <w:szCs w:val="21"/>
              </w:rPr>
            </w:pPr>
            <w:r>
              <w:rPr>
                <w:rFonts w:hint="eastAsia"/>
                <w:sz w:val="21"/>
                <w:szCs w:val="21"/>
              </w:rPr>
              <w:t>检出限</w:t>
            </w:r>
          </w:p>
        </w:tc>
        <w:tc>
          <w:tcPr>
            <w:tcW w:w="1273" w:type="pct"/>
          </w:tcPr>
          <w:p>
            <w:pPr>
              <w:widowControl/>
              <w:jc w:val="center"/>
              <w:rPr>
                <w:sz w:val="21"/>
                <w:szCs w:val="21"/>
              </w:rPr>
            </w:pPr>
            <w:r>
              <w:rPr>
                <w:rFonts w:hint="eastAsia"/>
                <w:sz w:val="21"/>
                <w:szCs w:val="21"/>
              </w:rPr>
              <w:t>3μg/m3</w:t>
            </w:r>
          </w:p>
        </w:tc>
        <w:tc>
          <w:tcPr>
            <w:tcW w:w="1416" w:type="pct"/>
            <w:vAlign w:val="center"/>
          </w:tcPr>
          <w:p>
            <w:pPr>
              <w:widowControl/>
              <w:jc w:val="center"/>
              <w:rPr>
                <w:sz w:val="21"/>
                <w:szCs w:val="21"/>
              </w:rPr>
            </w:pPr>
            <w:r>
              <w:rPr>
                <w:rFonts w:hint="eastAsia"/>
                <w:sz w:val="21"/>
                <w:szCs w:val="21"/>
              </w:rPr>
              <w:t>5μg/m3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vMerge w:val="restart"/>
            <w:vAlign w:val="center"/>
          </w:tcPr>
          <w:p>
            <w:pPr>
              <w:widowControl/>
              <w:jc w:val="center"/>
              <w:rPr>
                <w:sz w:val="21"/>
                <w:szCs w:val="21"/>
              </w:rPr>
            </w:pPr>
            <w:r>
              <w:rPr>
                <w:rFonts w:hint="eastAsia"/>
                <w:sz w:val="21"/>
                <w:szCs w:val="21"/>
              </w:rPr>
              <w:t>4</w:t>
            </w:r>
          </w:p>
        </w:tc>
        <w:tc>
          <w:tcPr>
            <w:tcW w:w="539" w:type="pct"/>
            <w:vMerge w:val="restart"/>
            <w:vAlign w:val="center"/>
          </w:tcPr>
          <w:p>
            <w:pPr>
              <w:widowControl/>
              <w:jc w:val="center"/>
              <w:rPr>
                <w:sz w:val="21"/>
                <w:szCs w:val="21"/>
              </w:rPr>
            </w:pPr>
            <w:r>
              <w:rPr>
                <w:rFonts w:hint="eastAsia"/>
                <w:sz w:val="21"/>
                <w:szCs w:val="21"/>
              </w:rPr>
              <w:t>比对测量误差</w:t>
            </w:r>
          </w:p>
        </w:tc>
        <w:tc>
          <w:tcPr>
            <w:tcW w:w="1236" w:type="pct"/>
            <w:vAlign w:val="center"/>
          </w:tcPr>
          <w:p>
            <w:pPr>
              <w:widowControl/>
              <w:jc w:val="center"/>
              <w:rPr>
                <w:sz w:val="21"/>
                <w:szCs w:val="21"/>
              </w:rPr>
            </w:pPr>
            <w:r>
              <w:rPr>
                <w:rFonts w:hint="eastAsia"/>
                <w:sz w:val="21"/>
                <w:szCs w:val="21"/>
              </w:rPr>
              <w:t>（0～100）μg/m3</w:t>
            </w:r>
          </w:p>
        </w:tc>
        <w:tc>
          <w:tcPr>
            <w:tcW w:w="1273" w:type="pct"/>
            <w:vAlign w:val="center"/>
          </w:tcPr>
          <w:p>
            <w:pPr>
              <w:widowControl/>
              <w:jc w:val="center"/>
              <w:rPr>
                <w:sz w:val="21"/>
                <w:szCs w:val="21"/>
              </w:rPr>
            </w:pPr>
            <w:r>
              <w:rPr>
                <w:rFonts w:hint="eastAsia"/>
                <w:sz w:val="21"/>
                <w:szCs w:val="21"/>
              </w:rPr>
              <w:t>±15μg/m3</w:t>
            </w:r>
          </w:p>
        </w:tc>
        <w:tc>
          <w:tcPr>
            <w:tcW w:w="1416" w:type="pct"/>
            <w:vAlign w:val="center"/>
          </w:tcPr>
          <w:p>
            <w:pPr>
              <w:widowControl/>
              <w:jc w:val="center"/>
              <w:rPr>
                <w:sz w:val="21"/>
                <w:szCs w:val="21"/>
              </w:rPr>
            </w:pPr>
            <w:r>
              <w:rPr>
                <w:rFonts w:hint="eastAsia"/>
                <w:sz w:val="21"/>
                <w:szCs w:val="21"/>
              </w:rPr>
              <w:t>±20μg/m3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vMerge w:val="continue"/>
            <w:vAlign w:val="center"/>
          </w:tcPr>
          <w:p>
            <w:pPr>
              <w:widowControl/>
              <w:jc w:val="center"/>
              <w:rPr>
                <w:sz w:val="21"/>
                <w:szCs w:val="21"/>
              </w:rPr>
            </w:pPr>
          </w:p>
        </w:tc>
        <w:tc>
          <w:tcPr>
            <w:tcW w:w="539" w:type="pct"/>
            <w:vMerge w:val="continue"/>
            <w:vAlign w:val="center"/>
          </w:tcPr>
          <w:p>
            <w:pPr>
              <w:widowControl/>
              <w:jc w:val="center"/>
              <w:rPr>
                <w:sz w:val="21"/>
                <w:szCs w:val="21"/>
              </w:rPr>
            </w:pPr>
          </w:p>
        </w:tc>
        <w:tc>
          <w:tcPr>
            <w:tcW w:w="1236" w:type="pct"/>
            <w:vAlign w:val="center"/>
          </w:tcPr>
          <w:p>
            <w:pPr>
              <w:widowControl/>
              <w:jc w:val="center"/>
              <w:rPr>
                <w:sz w:val="21"/>
                <w:szCs w:val="21"/>
              </w:rPr>
            </w:pPr>
            <w:r>
              <w:rPr>
                <w:rFonts w:hint="eastAsia"/>
                <w:sz w:val="21"/>
                <w:szCs w:val="21"/>
              </w:rPr>
              <w:t>（100～2000）μg/m3</w:t>
            </w:r>
          </w:p>
        </w:tc>
        <w:tc>
          <w:tcPr>
            <w:tcW w:w="1273" w:type="pct"/>
            <w:vAlign w:val="center"/>
          </w:tcPr>
          <w:p>
            <w:pPr>
              <w:widowControl/>
              <w:jc w:val="center"/>
              <w:rPr>
                <w:sz w:val="21"/>
                <w:szCs w:val="21"/>
              </w:rPr>
            </w:pPr>
            <w:r>
              <w:rPr>
                <w:rFonts w:hint="eastAsia"/>
                <w:sz w:val="21"/>
                <w:szCs w:val="21"/>
              </w:rPr>
              <w:t>±15%</w:t>
            </w:r>
          </w:p>
        </w:tc>
        <w:tc>
          <w:tcPr>
            <w:tcW w:w="1416" w:type="pct"/>
            <w:vAlign w:val="center"/>
          </w:tcPr>
          <w:p>
            <w:pPr>
              <w:widowControl/>
              <w:jc w:val="center"/>
              <w:rPr>
                <w:sz w:val="21"/>
                <w:szCs w:val="21"/>
              </w:rPr>
            </w:pPr>
            <w:r>
              <w:rPr>
                <w:rFonts w:hint="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vAlign w:val="center"/>
          </w:tcPr>
          <w:p>
            <w:pPr>
              <w:widowControl/>
              <w:jc w:val="center"/>
              <w:rPr>
                <w:sz w:val="21"/>
                <w:szCs w:val="21"/>
              </w:rPr>
            </w:pPr>
            <w:r>
              <w:rPr>
                <w:rFonts w:hint="eastAsia"/>
                <w:sz w:val="21"/>
                <w:szCs w:val="21"/>
              </w:rPr>
              <w:t>5</w:t>
            </w:r>
          </w:p>
        </w:tc>
        <w:tc>
          <w:tcPr>
            <w:tcW w:w="1775" w:type="pct"/>
            <w:gridSpan w:val="2"/>
            <w:vAlign w:val="center"/>
          </w:tcPr>
          <w:p>
            <w:pPr>
              <w:widowControl/>
              <w:jc w:val="center"/>
              <w:rPr>
                <w:sz w:val="21"/>
                <w:szCs w:val="21"/>
              </w:rPr>
            </w:pPr>
            <w:r>
              <w:rPr>
                <w:rFonts w:hint="eastAsia"/>
                <w:sz w:val="21"/>
                <w:szCs w:val="21"/>
              </w:rPr>
              <w:t>比对测量相关系数r</w:t>
            </w:r>
          </w:p>
        </w:tc>
        <w:tc>
          <w:tcPr>
            <w:tcW w:w="1273" w:type="pct"/>
            <w:vAlign w:val="center"/>
          </w:tcPr>
          <w:p>
            <w:pPr>
              <w:widowControl/>
              <w:jc w:val="center"/>
              <w:rPr>
                <w:sz w:val="21"/>
                <w:szCs w:val="21"/>
              </w:rPr>
            </w:pPr>
            <w:r>
              <w:rPr>
                <w:rFonts w:hint="eastAsia"/>
                <w:sz w:val="21"/>
                <w:szCs w:val="21"/>
              </w:rPr>
              <w:t>≥0.85</w:t>
            </w:r>
          </w:p>
        </w:tc>
        <w:tc>
          <w:tcPr>
            <w:tcW w:w="1416" w:type="pct"/>
            <w:vAlign w:val="center"/>
          </w:tcPr>
          <w:p>
            <w:pPr>
              <w:widowControl/>
              <w:jc w:val="center"/>
              <w:rPr>
                <w:sz w:val="21"/>
                <w:szCs w:val="21"/>
              </w:rPr>
            </w:pPr>
            <w:r>
              <w:rPr>
                <w:rFonts w:hint="eastAsia"/>
                <w:sz w:val="21"/>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vAlign w:val="center"/>
          </w:tcPr>
          <w:p>
            <w:pPr>
              <w:widowControl/>
              <w:jc w:val="center"/>
              <w:rPr>
                <w:sz w:val="21"/>
                <w:szCs w:val="21"/>
              </w:rPr>
            </w:pPr>
            <w:r>
              <w:rPr>
                <w:rFonts w:hint="eastAsia"/>
                <w:sz w:val="21"/>
                <w:szCs w:val="21"/>
              </w:rPr>
              <w:t>6</w:t>
            </w:r>
          </w:p>
        </w:tc>
        <w:tc>
          <w:tcPr>
            <w:tcW w:w="1775" w:type="pct"/>
            <w:gridSpan w:val="2"/>
            <w:vAlign w:val="center"/>
          </w:tcPr>
          <w:p>
            <w:pPr>
              <w:widowControl/>
              <w:jc w:val="center"/>
              <w:rPr>
                <w:sz w:val="21"/>
                <w:szCs w:val="21"/>
              </w:rPr>
            </w:pPr>
            <w:r>
              <w:rPr>
                <w:rFonts w:hint="eastAsia"/>
                <w:sz w:val="21"/>
                <w:szCs w:val="21"/>
              </w:rPr>
              <w:t>仪器平行性</w:t>
            </w:r>
          </w:p>
        </w:tc>
        <w:tc>
          <w:tcPr>
            <w:tcW w:w="1273" w:type="pct"/>
          </w:tcPr>
          <w:p>
            <w:pPr>
              <w:widowControl/>
              <w:jc w:val="center"/>
              <w:rPr>
                <w:sz w:val="21"/>
                <w:szCs w:val="21"/>
              </w:rPr>
            </w:pPr>
            <w:r>
              <w:rPr>
                <w:rFonts w:hint="eastAsia"/>
                <w:sz w:val="21"/>
                <w:szCs w:val="21"/>
              </w:rPr>
              <w:t>≤10%</w:t>
            </w:r>
          </w:p>
        </w:tc>
        <w:tc>
          <w:tcPr>
            <w:tcW w:w="1416" w:type="pct"/>
            <w:vAlign w:val="center"/>
          </w:tcPr>
          <w:p>
            <w:pPr>
              <w:widowControl/>
              <w:jc w:val="center"/>
              <w:rPr>
                <w:sz w:val="21"/>
                <w:szCs w:val="21"/>
              </w:rPr>
            </w:pPr>
            <w:r>
              <w:rPr>
                <w:rFonts w:hint="eastAsia"/>
                <w:sz w:val="21"/>
                <w:szCs w:val="21"/>
              </w:rPr>
              <w:t>≤15%</w:t>
            </w:r>
          </w:p>
        </w:tc>
      </w:tr>
    </w:tbl>
    <w:p>
      <w:pPr>
        <w:autoSpaceDE/>
        <w:autoSpaceDN/>
        <w:spacing w:line="360" w:lineRule="auto"/>
        <w:ind w:firstLine="480" w:firstLineChars="200"/>
        <w:rPr>
          <w:rStyle w:val="30"/>
          <w:rFonts w:ascii="宋体" w:hAnsi="宋体" w:cs="宋体"/>
          <w:color w:val="auto"/>
          <w:sz w:val="24"/>
          <w:lang w:bidi="ar"/>
        </w:rPr>
      </w:pPr>
      <w:r>
        <w:rPr>
          <w:rFonts w:hint="eastAsia"/>
          <w:sz w:val="24"/>
          <w:szCs w:val="21"/>
        </w:rPr>
        <w:t>3.1.3</w:t>
      </w:r>
      <w:r>
        <w:rPr>
          <w:rFonts w:hint="eastAsia"/>
          <w:sz w:val="24"/>
          <w:szCs w:val="21"/>
          <w:lang w:bidi="ar"/>
        </w:rPr>
        <w:t>便携式</w:t>
      </w:r>
      <w:r>
        <w:rPr>
          <w:rStyle w:val="30"/>
          <w:rFonts w:hint="eastAsia" w:ascii="宋体" w:hAnsi="宋体" w:cs="宋体"/>
          <w:color w:val="auto"/>
          <w:sz w:val="24"/>
          <w:lang w:bidi="ar"/>
        </w:rPr>
        <w:t>TVOC传感监测仪</w:t>
      </w:r>
    </w:p>
    <w:p>
      <w:pPr>
        <w:autoSpaceDE/>
        <w:autoSpaceDN/>
        <w:spacing w:line="360" w:lineRule="auto"/>
        <w:ind w:firstLine="480" w:firstLineChars="200"/>
        <w:rPr>
          <w:sz w:val="24"/>
          <w:szCs w:val="21"/>
          <w:shd w:val="clear" w:color="auto" w:fill="FFFFFF"/>
        </w:rPr>
      </w:pPr>
      <w:r>
        <w:rPr>
          <w:rFonts w:hint="eastAsia"/>
          <w:sz w:val="24"/>
          <w:szCs w:val="21"/>
          <w:shd w:val="clear" w:color="auto" w:fill="FFFFFF"/>
        </w:rPr>
        <w:t>1.高精度PID传感器，可通过显示屏、手机APP、平台端远程查询数据；</w:t>
      </w:r>
    </w:p>
    <w:p>
      <w:pPr>
        <w:autoSpaceDE/>
        <w:autoSpaceDN/>
        <w:spacing w:line="360" w:lineRule="auto"/>
        <w:ind w:firstLine="480" w:firstLineChars="200"/>
        <w:rPr>
          <w:sz w:val="24"/>
          <w:szCs w:val="21"/>
          <w:shd w:val="clear" w:color="auto" w:fill="FFFFFF"/>
        </w:rPr>
      </w:pPr>
      <w:r>
        <w:rPr>
          <w:rFonts w:hint="eastAsia"/>
          <w:sz w:val="24"/>
          <w:szCs w:val="21"/>
          <w:shd w:val="clear" w:color="auto" w:fill="FFFFFF"/>
        </w:rPr>
        <w:t>2.仪器分辨率低至1ppb，自动校零功能；</w:t>
      </w:r>
    </w:p>
    <w:p>
      <w:pPr>
        <w:autoSpaceDE/>
        <w:autoSpaceDN/>
        <w:spacing w:line="360" w:lineRule="auto"/>
        <w:ind w:firstLine="480" w:firstLineChars="200"/>
        <w:rPr>
          <w:sz w:val="24"/>
          <w:szCs w:val="21"/>
          <w:shd w:val="clear" w:color="auto" w:fill="FFFFFF"/>
        </w:rPr>
      </w:pPr>
      <w:r>
        <w:rPr>
          <w:rFonts w:hint="eastAsia"/>
          <w:sz w:val="24"/>
          <w:szCs w:val="21"/>
          <w:shd w:val="clear" w:color="auto" w:fill="FFFFFF"/>
        </w:rPr>
        <w:t>3.基于4G无线通讯技术和GPS定位技术，可将环境大数据汇集到“云平台”；</w:t>
      </w:r>
    </w:p>
    <w:p>
      <w:pPr>
        <w:autoSpaceDE/>
        <w:autoSpaceDN/>
        <w:spacing w:line="360" w:lineRule="auto"/>
        <w:ind w:firstLine="480" w:firstLineChars="200"/>
        <w:rPr>
          <w:sz w:val="24"/>
          <w:szCs w:val="21"/>
          <w:shd w:val="clear" w:color="auto" w:fill="FFFFFF"/>
        </w:rPr>
      </w:pPr>
      <w:r>
        <w:rPr>
          <w:rFonts w:hint="eastAsia"/>
          <w:sz w:val="24"/>
          <w:szCs w:val="21"/>
          <w:shd w:val="clear" w:color="auto" w:fill="FFFFFF"/>
        </w:rPr>
        <w:t>4.内置锂电池可待机48小时；</w:t>
      </w:r>
    </w:p>
    <w:p>
      <w:pPr>
        <w:autoSpaceDE/>
        <w:autoSpaceDN/>
        <w:spacing w:line="360" w:lineRule="auto"/>
        <w:ind w:firstLine="480" w:firstLineChars="200"/>
        <w:rPr>
          <w:sz w:val="24"/>
          <w:szCs w:val="21"/>
          <w:shd w:val="clear" w:color="auto" w:fill="FFFFFF"/>
        </w:rPr>
      </w:pPr>
      <w:r>
        <w:rPr>
          <w:rFonts w:hint="eastAsia"/>
          <w:sz w:val="24"/>
          <w:szCs w:val="21"/>
          <w:shd w:val="clear" w:color="auto" w:fill="FFFFFF"/>
        </w:rPr>
        <w:t>主要技术指标：</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8"/>
        <w:gridCol w:w="6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tcPr>
          <w:p>
            <w:pPr>
              <w:widowControl/>
              <w:jc w:val="center"/>
              <w:textAlignment w:val="center"/>
              <w:rPr>
                <w:rFonts w:ascii="Times New Roman" w:hAnsi="Times New Roman" w:cs="Times New Roman"/>
                <w:szCs w:val="20"/>
                <w:shd w:val="clear" w:color="auto" w:fill="FFFFFF"/>
              </w:rPr>
            </w:pPr>
            <w:r>
              <w:rPr>
                <w:rFonts w:ascii="Times New Roman" w:hAnsi="Times New Roman" w:cs="Times New Roman"/>
                <w:szCs w:val="20"/>
                <w:shd w:val="clear" w:color="auto" w:fill="FFFFFF"/>
              </w:rPr>
              <w:t>监测参数</w:t>
            </w:r>
          </w:p>
        </w:tc>
        <w:tc>
          <w:tcPr>
            <w:tcW w:w="3574" w:type="pct"/>
          </w:tcPr>
          <w:p>
            <w:pPr>
              <w:widowControl/>
              <w:jc w:val="center"/>
              <w:textAlignment w:val="center"/>
              <w:rPr>
                <w:rFonts w:ascii="Times New Roman" w:hAnsi="Times New Roman" w:cs="Times New Roman"/>
                <w:szCs w:val="20"/>
                <w:shd w:val="clear" w:color="auto" w:fill="FFFFFF"/>
              </w:rPr>
            </w:pPr>
            <w:r>
              <w:rPr>
                <w:rFonts w:ascii="Times New Roman" w:hAnsi="Times New Roman" w:cs="Times New Roman"/>
                <w:szCs w:val="20"/>
                <w:shd w:val="clear" w:color="auto" w:fill="FFFFFF"/>
              </w:rPr>
              <w:t>TVOC、温度、湿度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tcPr>
          <w:p>
            <w:pPr>
              <w:widowControl/>
              <w:jc w:val="center"/>
              <w:textAlignment w:val="center"/>
              <w:rPr>
                <w:rFonts w:ascii="Times New Roman" w:hAnsi="Times New Roman" w:cs="Times New Roman"/>
                <w:szCs w:val="20"/>
                <w:shd w:val="clear" w:color="auto" w:fill="FFFFFF"/>
              </w:rPr>
            </w:pPr>
            <w:r>
              <w:rPr>
                <w:rFonts w:ascii="Times New Roman" w:hAnsi="Times New Roman" w:cs="Times New Roman"/>
                <w:szCs w:val="20"/>
                <w:shd w:val="clear" w:color="auto" w:fill="FFFFFF"/>
              </w:rPr>
              <w:t>时间分辨率</w:t>
            </w:r>
          </w:p>
        </w:tc>
        <w:tc>
          <w:tcPr>
            <w:tcW w:w="3574" w:type="pct"/>
          </w:tcPr>
          <w:p>
            <w:pPr>
              <w:widowControl/>
              <w:jc w:val="center"/>
              <w:textAlignment w:val="center"/>
              <w:rPr>
                <w:rFonts w:ascii="Times New Roman" w:hAnsi="Times New Roman" w:cstheme="minorHAnsi"/>
                <w:szCs w:val="20"/>
                <w:shd w:val="clear" w:color="auto" w:fill="FFFFFF"/>
              </w:rPr>
            </w:pPr>
            <w:r>
              <w:rPr>
                <w:rFonts w:ascii="Times New Roman" w:hAnsi="Times New Roman" w:cstheme="minorHAnsi"/>
                <w:szCs w:val="20"/>
                <w:shd w:val="clear" w:color="auto" w:fill="FFFFFF"/>
              </w:rPr>
              <w:t>&lt;5s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tcPr>
          <w:p>
            <w:pPr>
              <w:widowControl/>
              <w:jc w:val="center"/>
              <w:textAlignment w:val="center"/>
              <w:rPr>
                <w:rFonts w:ascii="Times New Roman" w:hAnsi="Times New Roman" w:cs="Times New Roman"/>
                <w:szCs w:val="20"/>
                <w:shd w:val="clear" w:color="auto" w:fill="FFFFFF"/>
              </w:rPr>
            </w:pPr>
            <w:r>
              <w:rPr>
                <w:rFonts w:ascii="Times New Roman" w:hAnsi="Times New Roman" w:cs="Times New Roman"/>
                <w:szCs w:val="20"/>
                <w:shd w:val="clear" w:color="auto" w:fill="FFFFFF"/>
              </w:rPr>
              <w:t>电源</w:t>
            </w:r>
          </w:p>
        </w:tc>
        <w:tc>
          <w:tcPr>
            <w:tcW w:w="3574" w:type="pct"/>
          </w:tcPr>
          <w:p>
            <w:pPr>
              <w:widowControl/>
              <w:jc w:val="center"/>
              <w:textAlignment w:val="center"/>
              <w:rPr>
                <w:rFonts w:ascii="Times New Roman" w:hAnsi="Times New Roman" w:cstheme="minorHAnsi"/>
                <w:szCs w:val="20"/>
                <w:shd w:val="clear" w:color="auto" w:fill="FFFFFF"/>
              </w:rPr>
            </w:pPr>
            <w:r>
              <w:rPr>
                <w:rFonts w:ascii="Times New Roman" w:hAnsi="Times New Roman" w:cstheme="minorHAnsi"/>
                <w:szCs w:val="20"/>
                <w:shd w:val="clear" w:color="auto" w:fill="FFFFFF"/>
              </w:rPr>
              <w:t>市政（220V）供电、锂电池供电（12V)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5" w:type="pct"/>
          </w:tcPr>
          <w:p>
            <w:pPr>
              <w:widowControl/>
              <w:jc w:val="center"/>
              <w:textAlignment w:val="center"/>
              <w:rPr>
                <w:rFonts w:ascii="Times New Roman" w:hAnsi="Times New Roman" w:cs="Times New Roman"/>
                <w:szCs w:val="20"/>
                <w:shd w:val="clear" w:color="auto" w:fill="FFFFFF"/>
              </w:rPr>
            </w:pPr>
            <w:r>
              <w:rPr>
                <w:rFonts w:ascii="Times New Roman" w:hAnsi="Times New Roman" w:cs="Times New Roman"/>
                <w:szCs w:val="20"/>
                <w:shd w:val="clear" w:color="auto" w:fill="FFFFFF"/>
              </w:rPr>
              <w:t>工作环境</w:t>
            </w:r>
          </w:p>
        </w:tc>
        <w:tc>
          <w:tcPr>
            <w:tcW w:w="3574" w:type="pct"/>
          </w:tcPr>
          <w:p>
            <w:pPr>
              <w:widowControl/>
              <w:ind w:firstLine="480"/>
              <w:jc w:val="center"/>
              <w:textAlignment w:val="center"/>
              <w:rPr>
                <w:rFonts w:ascii="Times New Roman" w:hAnsi="Times New Roman" w:cstheme="minorHAnsi"/>
                <w:szCs w:val="20"/>
                <w:shd w:val="clear" w:color="auto" w:fill="FFFFFF"/>
              </w:rPr>
            </w:pPr>
            <w:r>
              <w:rPr>
                <w:rFonts w:ascii="Times New Roman" w:hAnsi="Times New Roman" w:cstheme="minorHAnsi"/>
                <w:szCs w:val="20"/>
                <w:shd w:val="clear" w:color="auto" w:fill="FFFFFF"/>
              </w:rPr>
              <w:t>T(-40-55)</w:t>
            </w:r>
            <w:r>
              <w:rPr>
                <w:rFonts w:hint="eastAsia"/>
                <w:szCs w:val="20"/>
                <w:shd w:val="clear" w:color="auto" w:fill="FFFFFF"/>
              </w:rPr>
              <w:t>℃</w:t>
            </w:r>
            <w:r>
              <w:rPr>
                <w:rFonts w:ascii="Times New Roman" w:hAnsi="Times New Roman" w:cstheme="minorHAnsi"/>
                <w:szCs w:val="20"/>
                <w:shd w:val="clear" w:color="auto" w:fill="FFFFFF"/>
              </w:rPr>
              <w:t>、RH(0%-95%)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tcPr>
          <w:p>
            <w:pPr>
              <w:widowControl/>
              <w:jc w:val="center"/>
              <w:textAlignment w:val="center"/>
              <w:rPr>
                <w:rFonts w:ascii="Times New Roman" w:hAnsi="Times New Roman" w:cs="Times New Roman"/>
                <w:szCs w:val="20"/>
                <w:shd w:val="clear" w:color="auto" w:fill="FFFFFF"/>
              </w:rPr>
            </w:pPr>
            <w:r>
              <w:rPr>
                <w:rFonts w:ascii="Times New Roman" w:hAnsi="Times New Roman" w:cs="Times New Roman"/>
                <w:szCs w:val="20"/>
                <w:shd w:val="clear" w:color="auto" w:fill="FFFFFF"/>
              </w:rPr>
              <w:t>通讯方式</w:t>
            </w:r>
          </w:p>
        </w:tc>
        <w:tc>
          <w:tcPr>
            <w:tcW w:w="3574" w:type="pct"/>
          </w:tcPr>
          <w:p>
            <w:pPr>
              <w:widowControl/>
              <w:ind w:firstLine="480"/>
              <w:jc w:val="center"/>
              <w:textAlignment w:val="center"/>
              <w:rPr>
                <w:rFonts w:ascii="Times New Roman" w:hAnsi="Times New Roman" w:cstheme="minorHAnsi"/>
                <w:szCs w:val="20"/>
                <w:shd w:val="clear" w:color="auto" w:fill="FFFFFF"/>
              </w:rPr>
            </w:pPr>
            <w:r>
              <w:rPr>
                <w:rFonts w:ascii="Times New Roman" w:hAnsi="Times New Roman" w:cstheme="minorHAnsi"/>
                <w:szCs w:val="20"/>
                <w:shd w:val="clear" w:color="auto" w:fill="FFFFFF"/>
              </w:rPr>
              <w:t>GPRS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tcPr>
          <w:p>
            <w:pPr>
              <w:widowControl/>
              <w:jc w:val="center"/>
              <w:textAlignment w:val="center"/>
              <w:rPr>
                <w:rFonts w:ascii="Times New Roman" w:hAnsi="Times New Roman" w:cs="Times New Roman"/>
                <w:szCs w:val="20"/>
                <w:shd w:val="clear" w:color="auto" w:fill="FFFFFF"/>
              </w:rPr>
            </w:pPr>
            <w:r>
              <w:rPr>
                <w:rFonts w:ascii="Times New Roman" w:hAnsi="Times New Roman" w:cs="Times New Roman"/>
                <w:szCs w:val="20"/>
                <w:shd w:val="clear" w:color="auto" w:fill="FFFFFF"/>
              </w:rPr>
              <w:t>电池</w:t>
            </w:r>
          </w:p>
        </w:tc>
        <w:tc>
          <w:tcPr>
            <w:tcW w:w="3574" w:type="pct"/>
          </w:tcPr>
          <w:p>
            <w:pPr>
              <w:widowControl/>
              <w:ind w:firstLine="480"/>
              <w:jc w:val="center"/>
              <w:textAlignment w:val="center"/>
              <w:rPr>
                <w:rFonts w:ascii="Times New Roman" w:hAnsi="Times New Roman" w:cstheme="minorHAnsi"/>
                <w:szCs w:val="20"/>
                <w:shd w:val="clear" w:color="auto" w:fill="FFFFFF"/>
              </w:rPr>
            </w:pPr>
            <w:r>
              <w:rPr>
                <w:rFonts w:ascii="Times New Roman" w:hAnsi="Times New Roman" w:cstheme="minorHAnsi"/>
                <w:szCs w:val="20"/>
                <w:shd w:val="clear" w:color="auto" w:fill="FFFFFF"/>
              </w:rPr>
              <w:t>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tcPr>
          <w:p>
            <w:pPr>
              <w:widowControl/>
              <w:jc w:val="center"/>
              <w:textAlignment w:val="center"/>
              <w:rPr>
                <w:rFonts w:ascii="Times New Roman" w:hAnsi="Times New Roman" w:cs="Times New Roman"/>
                <w:szCs w:val="20"/>
                <w:shd w:val="clear" w:color="auto" w:fill="FFFFFF"/>
              </w:rPr>
            </w:pPr>
            <w:r>
              <w:rPr>
                <w:rFonts w:ascii="Times New Roman" w:hAnsi="Times New Roman" w:cs="Times New Roman"/>
                <w:szCs w:val="20"/>
                <w:shd w:val="clear" w:color="auto" w:fill="FFFFFF"/>
              </w:rPr>
              <w:t>工作时间</w:t>
            </w:r>
          </w:p>
        </w:tc>
        <w:tc>
          <w:tcPr>
            <w:tcW w:w="3574" w:type="pct"/>
          </w:tcPr>
          <w:p>
            <w:pPr>
              <w:widowControl/>
              <w:jc w:val="both"/>
              <w:textAlignment w:val="center"/>
              <w:rPr>
                <w:rFonts w:ascii="Times New Roman" w:hAnsi="Times New Roman" w:cstheme="minorHAnsi"/>
                <w:szCs w:val="20"/>
                <w:shd w:val="clear" w:color="auto" w:fill="FFFFFF"/>
              </w:rPr>
            </w:pPr>
            <w:r>
              <w:rPr>
                <w:rFonts w:ascii="Times New Roman" w:hAnsi="Times New Roman" w:cstheme="minorHAnsi"/>
                <w:szCs w:val="20"/>
                <w:shd w:val="clear" w:color="auto" w:fill="FFFFFF"/>
              </w:rPr>
              <w:t>内置电池工作48小时（可接外置电池或市电）</w:t>
            </w:r>
          </w:p>
        </w:tc>
      </w:tr>
    </w:tbl>
    <w:p>
      <w:pPr>
        <w:adjustRightInd w:val="0"/>
        <w:snapToGrid w:val="0"/>
        <w:rPr>
          <w:szCs w:val="28"/>
          <w:shd w:val="clear" w:color="auto" w:fill="FFFFFF"/>
        </w:rPr>
      </w:pPr>
    </w:p>
    <w:tbl>
      <w:tblPr>
        <w:tblStyle w:val="21"/>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Layout w:type="autofit"/>
        <w:tblCellMar>
          <w:top w:w="0" w:type="dxa"/>
          <w:left w:w="0" w:type="dxa"/>
          <w:bottom w:w="0" w:type="dxa"/>
          <w:right w:w="0" w:type="dxa"/>
        </w:tblCellMar>
      </w:tblPr>
      <w:tblGrid>
        <w:gridCol w:w="2322"/>
        <w:gridCol w:w="2445"/>
        <w:gridCol w:w="2037"/>
        <w:gridCol w:w="22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cantSplit/>
          <w:trHeight w:val="305" w:hRule="atLeast"/>
          <w:jc w:val="center"/>
        </w:trPr>
        <w:tc>
          <w:tcPr>
            <w:tcW w:w="1278"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监测参数</w:t>
            </w:r>
          </w:p>
        </w:tc>
        <w:tc>
          <w:tcPr>
            <w:tcW w:w="1346"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TVOC</w:t>
            </w:r>
          </w:p>
        </w:tc>
        <w:tc>
          <w:tcPr>
            <w:tcW w:w="1121"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温度</w:t>
            </w:r>
          </w:p>
        </w:tc>
        <w:tc>
          <w:tcPr>
            <w:tcW w:w="1254"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湿度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cantSplit/>
          <w:trHeight w:val="617" w:hRule="atLeast"/>
          <w:jc w:val="center"/>
        </w:trPr>
        <w:tc>
          <w:tcPr>
            <w:tcW w:w="1278"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测试范围</w:t>
            </w:r>
          </w:p>
        </w:tc>
        <w:tc>
          <w:tcPr>
            <w:tcW w:w="1346" w:type="pct"/>
            <w:shd w:val="clear" w:color="auto" w:fill="FFFFFF"/>
            <w:vAlign w:val="center"/>
          </w:tcPr>
          <w:p>
            <w:pPr>
              <w:jc w:val="center"/>
              <w:rPr>
                <w:rFonts w:cstheme="minorHAnsi"/>
                <w:lang w:val="en-US"/>
              </w:rPr>
            </w:pPr>
            <w:r>
              <w:rPr>
                <w:rFonts w:cstheme="minorHAnsi"/>
                <w:lang w:val="en-US"/>
              </w:rPr>
              <w:t>（0</w:t>
            </w:r>
            <w:r>
              <w:rPr>
                <w:rFonts w:cstheme="minorHAnsi"/>
              </w:rPr>
              <w:t>～</w:t>
            </w:r>
            <w:r>
              <w:rPr>
                <w:rFonts w:cstheme="minorHAnsi"/>
                <w:lang w:val="en-US"/>
              </w:rPr>
              <w:t>50）ppm</w:t>
            </w:r>
          </w:p>
          <w:p>
            <w:pPr>
              <w:jc w:val="center"/>
              <w:rPr>
                <w:rFonts w:cstheme="minorHAnsi"/>
                <w:lang w:val="en-US"/>
              </w:rPr>
            </w:pPr>
            <w:r>
              <w:rPr>
                <w:rFonts w:cstheme="minorHAnsi"/>
                <w:lang w:val="en-US"/>
              </w:rPr>
              <w:t>(</w:t>
            </w:r>
            <w:r>
              <w:rPr>
                <w:rFonts w:cstheme="minorHAnsi"/>
              </w:rPr>
              <w:t>异丁烯校准</w:t>
            </w:r>
            <w:r>
              <w:rPr>
                <w:rFonts w:cstheme="minorHAnsi"/>
                <w:lang w:val="en-US"/>
              </w:rPr>
              <w:t>)</w:t>
            </w:r>
          </w:p>
        </w:tc>
        <w:tc>
          <w:tcPr>
            <w:tcW w:w="1121"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（-40～55）</w:t>
            </w:r>
            <w:r>
              <w:rPr>
                <w:rFonts w:hint="eastAsia"/>
                <w:sz w:val="21"/>
                <w:shd w:val="clear" w:color="auto" w:fill="FFFFFF"/>
              </w:rPr>
              <w:t>℃</w:t>
            </w:r>
          </w:p>
        </w:tc>
        <w:tc>
          <w:tcPr>
            <w:tcW w:w="1254"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（5～95）%RH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cantSplit/>
          <w:trHeight w:val="312" w:hRule="atLeast"/>
          <w:jc w:val="center"/>
        </w:trPr>
        <w:tc>
          <w:tcPr>
            <w:tcW w:w="1278"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最小分辨率</w:t>
            </w:r>
          </w:p>
        </w:tc>
        <w:tc>
          <w:tcPr>
            <w:tcW w:w="1346"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1ppb</w:t>
            </w:r>
          </w:p>
        </w:tc>
        <w:tc>
          <w:tcPr>
            <w:tcW w:w="1121"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±1</w:t>
            </w:r>
            <w:r>
              <w:rPr>
                <w:rFonts w:hint="eastAsia"/>
                <w:sz w:val="21"/>
                <w:shd w:val="clear" w:color="auto" w:fill="FFFFFF"/>
              </w:rPr>
              <w:t>℃</w:t>
            </w:r>
          </w:p>
        </w:tc>
        <w:tc>
          <w:tcPr>
            <w:tcW w:w="1254"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±1%RH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cantSplit/>
          <w:trHeight w:val="312" w:hRule="atLeast"/>
          <w:jc w:val="center"/>
        </w:trPr>
        <w:tc>
          <w:tcPr>
            <w:tcW w:w="1278"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示值误差</w:t>
            </w:r>
          </w:p>
        </w:tc>
        <w:tc>
          <w:tcPr>
            <w:tcW w:w="1346"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±3%FS</w:t>
            </w:r>
          </w:p>
        </w:tc>
        <w:tc>
          <w:tcPr>
            <w:tcW w:w="1121"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±2</w:t>
            </w:r>
            <w:r>
              <w:rPr>
                <w:rFonts w:hint="eastAsia"/>
                <w:sz w:val="21"/>
                <w:shd w:val="clear" w:color="auto" w:fill="FFFFFF"/>
              </w:rPr>
              <w:t>℃</w:t>
            </w:r>
          </w:p>
        </w:tc>
        <w:tc>
          <w:tcPr>
            <w:tcW w:w="1254"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cantSplit/>
          <w:trHeight w:val="312" w:hRule="atLeast"/>
          <w:jc w:val="center"/>
        </w:trPr>
        <w:tc>
          <w:tcPr>
            <w:tcW w:w="1278"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重复性</w:t>
            </w:r>
          </w:p>
        </w:tc>
        <w:tc>
          <w:tcPr>
            <w:tcW w:w="1346"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1%</w:t>
            </w:r>
          </w:p>
        </w:tc>
        <w:tc>
          <w:tcPr>
            <w:tcW w:w="1121"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w:t>
            </w:r>
          </w:p>
        </w:tc>
        <w:tc>
          <w:tcPr>
            <w:tcW w:w="1254"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cantSplit/>
          <w:trHeight w:val="312" w:hRule="atLeast"/>
          <w:jc w:val="center"/>
        </w:trPr>
        <w:tc>
          <w:tcPr>
            <w:tcW w:w="1278"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零点漂移</w:t>
            </w:r>
          </w:p>
        </w:tc>
        <w:tc>
          <w:tcPr>
            <w:tcW w:w="1346"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±10 ppb</w:t>
            </w:r>
          </w:p>
        </w:tc>
        <w:tc>
          <w:tcPr>
            <w:tcW w:w="1121"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w:t>
            </w:r>
          </w:p>
        </w:tc>
        <w:tc>
          <w:tcPr>
            <w:tcW w:w="1254"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cantSplit/>
          <w:trHeight w:val="312" w:hRule="atLeast"/>
          <w:jc w:val="center"/>
        </w:trPr>
        <w:tc>
          <w:tcPr>
            <w:tcW w:w="1278"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量程漂移</w:t>
            </w:r>
          </w:p>
        </w:tc>
        <w:tc>
          <w:tcPr>
            <w:tcW w:w="1346"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±3% FS</w:t>
            </w:r>
          </w:p>
        </w:tc>
        <w:tc>
          <w:tcPr>
            <w:tcW w:w="1121"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w:t>
            </w:r>
          </w:p>
        </w:tc>
        <w:tc>
          <w:tcPr>
            <w:tcW w:w="1254" w:type="pct"/>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cantSplit/>
          <w:trHeight w:val="312" w:hRule="atLeast"/>
          <w:jc w:val="center"/>
        </w:trPr>
        <w:tc>
          <w:tcPr>
            <w:tcW w:w="1278"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使用环境温度</w:t>
            </w:r>
          </w:p>
        </w:tc>
        <w:tc>
          <w:tcPr>
            <w:tcW w:w="3721" w:type="pct"/>
            <w:gridSpan w:val="3"/>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-40～50</w:t>
            </w:r>
            <w:r>
              <w:rPr>
                <w:rFonts w:hint="eastAsia"/>
                <w:sz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cantSplit/>
          <w:trHeight w:val="320" w:hRule="atLeast"/>
          <w:jc w:val="center"/>
        </w:trPr>
        <w:tc>
          <w:tcPr>
            <w:tcW w:w="1278" w:type="pct"/>
            <w:shd w:val="clear" w:color="auto" w:fill="FFFFFF"/>
            <w:vAlign w:val="center"/>
          </w:tcPr>
          <w:p>
            <w:pPr>
              <w:pStyle w:val="19"/>
              <w:jc w:val="center"/>
              <w:rPr>
                <w:rFonts w:eastAsiaTheme="minorEastAsia"/>
                <w:sz w:val="21"/>
                <w:shd w:val="clear" w:color="auto" w:fill="FFFFFF"/>
              </w:rPr>
            </w:pPr>
            <w:r>
              <w:rPr>
                <w:rFonts w:eastAsiaTheme="minorEastAsia"/>
                <w:sz w:val="21"/>
                <w:shd w:val="clear" w:color="auto" w:fill="FFFFFF"/>
              </w:rPr>
              <w:t>使用环境湿度</w:t>
            </w:r>
          </w:p>
        </w:tc>
        <w:tc>
          <w:tcPr>
            <w:tcW w:w="3721" w:type="pct"/>
            <w:gridSpan w:val="3"/>
            <w:shd w:val="clear" w:color="auto" w:fill="FFFFFF"/>
            <w:vAlign w:val="center"/>
          </w:tcPr>
          <w:p>
            <w:pPr>
              <w:pStyle w:val="19"/>
              <w:jc w:val="center"/>
              <w:rPr>
                <w:rFonts w:asciiTheme="minorHAnsi" w:hAnsiTheme="minorHAnsi" w:eastAsiaTheme="minorEastAsia" w:cstheme="minorHAnsi"/>
                <w:sz w:val="21"/>
                <w:shd w:val="clear" w:color="auto" w:fill="FFFFFF"/>
              </w:rPr>
            </w:pPr>
            <w:r>
              <w:rPr>
                <w:rFonts w:asciiTheme="minorHAnsi" w:hAnsiTheme="minorHAnsi" w:eastAsiaTheme="minorEastAsia" w:cstheme="minorHAnsi"/>
                <w:sz w:val="21"/>
                <w:shd w:val="clear" w:color="auto" w:fill="FFFFFF"/>
              </w:rPr>
              <w:t>RH（ 0%～95%）</w:t>
            </w:r>
          </w:p>
        </w:tc>
      </w:tr>
    </w:tbl>
    <w:p>
      <w:pPr>
        <w:autoSpaceDE/>
        <w:autoSpaceDN/>
        <w:spacing w:line="360" w:lineRule="auto"/>
        <w:ind w:firstLine="480" w:firstLineChars="200"/>
        <w:rPr>
          <w:sz w:val="24"/>
          <w:szCs w:val="21"/>
          <w:lang w:bidi="ar"/>
        </w:rPr>
      </w:pPr>
      <w:r>
        <w:rPr>
          <w:rFonts w:hint="eastAsia"/>
          <w:sz w:val="24"/>
          <w:szCs w:val="21"/>
        </w:rPr>
        <w:t>3.1.4</w:t>
      </w:r>
      <w:r>
        <w:rPr>
          <w:rFonts w:hint="eastAsia"/>
          <w:sz w:val="24"/>
          <w:szCs w:val="21"/>
          <w:lang w:bidi="ar"/>
        </w:rPr>
        <w:t>便携式空气质量监测仪</w:t>
      </w:r>
    </w:p>
    <w:p>
      <w:pPr>
        <w:autoSpaceDE/>
        <w:autoSpaceDN/>
        <w:spacing w:line="360" w:lineRule="auto"/>
        <w:ind w:firstLine="480" w:firstLineChars="200"/>
        <w:rPr>
          <w:sz w:val="24"/>
          <w:szCs w:val="21"/>
        </w:rPr>
      </w:pPr>
      <w:r>
        <w:rPr>
          <w:rFonts w:hint="eastAsia"/>
          <w:sz w:val="24"/>
          <w:szCs w:val="21"/>
        </w:rPr>
        <w:t>1）气态污染源测量采用泵吸式测量；</w:t>
      </w:r>
    </w:p>
    <w:p>
      <w:pPr>
        <w:autoSpaceDE/>
        <w:autoSpaceDN/>
        <w:spacing w:line="360" w:lineRule="auto"/>
        <w:ind w:firstLine="480" w:firstLineChars="200"/>
        <w:rPr>
          <w:sz w:val="24"/>
          <w:szCs w:val="21"/>
        </w:rPr>
      </w:pPr>
      <w:r>
        <w:rPr>
          <w:rFonts w:hint="eastAsia"/>
          <w:sz w:val="24"/>
          <w:szCs w:val="21"/>
        </w:rPr>
        <w:t>2）内置锂电池，运行时长30小时以上；</w:t>
      </w:r>
    </w:p>
    <w:p>
      <w:pPr>
        <w:autoSpaceDE/>
        <w:autoSpaceDN/>
        <w:spacing w:line="360" w:lineRule="auto"/>
        <w:ind w:firstLine="480" w:firstLineChars="200"/>
        <w:rPr>
          <w:sz w:val="24"/>
          <w:szCs w:val="21"/>
        </w:rPr>
      </w:pPr>
      <w:r>
        <w:rPr>
          <w:rFonts w:hint="eastAsia"/>
          <w:sz w:val="24"/>
          <w:szCs w:val="21"/>
        </w:rPr>
        <w:t>3）可以间歇式工作或进行秒级数据实时传输；</w:t>
      </w:r>
    </w:p>
    <w:p>
      <w:pPr>
        <w:autoSpaceDE/>
        <w:autoSpaceDN/>
        <w:spacing w:line="360" w:lineRule="auto"/>
        <w:ind w:firstLine="480" w:firstLineChars="200"/>
        <w:rPr>
          <w:sz w:val="24"/>
          <w:szCs w:val="21"/>
        </w:rPr>
      </w:pPr>
      <w:r>
        <w:rPr>
          <w:rFonts w:hint="eastAsia"/>
          <w:sz w:val="24"/>
          <w:szCs w:val="21"/>
        </w:rPr>
        <w:t>4）全网通4G模块,带有GPS位置信息；</w:t>
      </w:r>
    </w:p>
    <w:p>
      <w:pPr>
        <w:autoSpaceDE/>
        <w:autoSpaceDN/>
        <w:spacing w:line="360" w:lineRule="auto"/>
        <w:ind w:firstLine="480" w:firstLineChars="200"/>
        <w:rPr>
          <w:sz w:val="24"/>
          <w:szCs w:val="21"/>
        </w:rPr>
      </w:pPr>
      <w:r>
        <w:rPr>
          <w:rFonts w:hint="eastAsia"/>
          <w:sz w:val="24"/>
          <w:szCs w:val="21"/>
        </w:rPr>
        <w:t>主要技术指标：</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63"/>
        <w:gridCol w:w="788"/>
        <w:gridCol w:w="901"/>
        <w:gridCol w:w="682"/>
        <w:gridCol w:w="54"/>
        <w:gridCol w:w="1654"/>
        <w:gridCol w:w="883"/>
        <w:gridCol w:w="859"/>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10"/>
            <w:vAlign w:val="center"/>
          </w:tcPr>
          <w:p>
            <w:pPr>
              <w:jc w:val="center"/>
              <w:rPr>
                <w:rFonts w:ascii="Times New Roman" w:hAnsi="Times New Roman" w:cs="Times New Roman"/>
              </w:rPr>
            </w:pPr>
            <w:r>
              <w:rPr>
                <w:rFonts w:ascii="Times New Roman" w:hAnsi="Times New Roman" w:cs="Times New Roman"/>
              </w:rPr>
              <w:t>颗粒物性能指标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230" w:type="pct"/>
            <w:gridSpan w:val="6"/>
            <w:vAlign w:val="center"/>
          </w:tcPr>
          <w:p>
            <w:pPr>
              <w:jc w:val="center"/>
              <w:rPr>
                <w:rFonts w:ascii="Times New Roman" w:hAnsi="Times New Roman" w:cstheme="minorHAnsi"/>
              </w:rPr>
            </w:pPr>
            <w:r>
              <w:rPr>
                <w:rFonts w:ascii="Times New Roman" w:hAnsi="Times New Roman" w:cstheme="minorHAnsi"/>
              </w:rPr>
              <w:t>测量参数</w:t>
            </w:r>
          </w:p>
        </w:tc>
        <w:tc>
          <w:tcPr>
            <w:tcW w:w="1365" w:type="pct"/>
            <w:gridSpan w:val="2"/>
            <w:vAlign w:val="center"/>
          </w:tcPr>
          <w:p>
            <w:pPr>
              <w:jc w:val="center"/>
              <w:rPr>
                <w:rFonts w:ascii="Times New Roman" w:hAnsi="Times New Roman" w:cstheme="minorHAnsi"/>
              </w:rPr>
            </w:pPr>
            <w:r>
              <w:rPr>
                <w:rFonts w:ascii="Times New Roman" w:hAnsi="Times New Roman" w:cstheme="minorHAnsi"/>
              </w:rPr>
              <w:t>PM2.5</w:t>
            </w:r>
          </w:p>
        </w:tc>
        <w:tc>
          <w:tcPr>
            <w:tcW w:w="1404" w:type="pct"/>
            <w:gridSpan w:val="2"/>
            <w:vAlign w:val="center"/>
          </w:tcPr>
          <w:p>
            <w:pPr>
              <w:jc w:val="center"/>
              <w:rPr>
                <w:rFonts w:ascii="Times New Roman" w:hAnsi="Times New Roman" w:cstheme="minorHAnsi"/>
              </w:rPr>
            </w:pPr>
            <w:r>
              <w:rPr>
                <w:rFonts w:ascii="Times New Roman" w:hAnsi="Times New Roman" w:cstheme="minorHAnsi"/>
              </w:rPr>
              <w:t>PM10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230" w:type="pct"/>
            <w:gridSpan w:val="6"/>
            <w:vAlign w:val="center"/>
          </w:tcPr>
          <w:p>
            <w:pPr>
              <w:jc w:val="center"/>
              <w:rPr>
                <w:rFonts w:ascii="Times New Roman" w:hAnsi="Times New Roman" w:cstheme="minorHAnsi"/>
              </w:rPr>
            </w:pPr>
            <w:r>
              <w:rPr>
                <w:rFonts w:ascii="Times New Roman" w:hAnsi="Times New Roman" w:cstheme="minorHAnsi"/>
              </w:rPr>
              <w:t>工作原理</w:t>
            </w:r>
          </w:p>
        </w:tc>
        <w:tc>
          <w:tcPr>
            <w:tcW w:w="1365" w:type="pct"/>
            <w:gridSpan w:val="2"/>
            <w:vAlign w:val="center"/>
          </w:tcPr>
          <w:p>
            <w:pPr>
              <w:jc w:val="center"/>
              <w:rPr>
                <w:rFonts w:ascii="Times New Roman" w:hAnsi="Times New Roman" w:cstheme="minorHAnsi"/>
              </w:rPr>
            </w:pPr>
            <w:r>
              <w:rPr>
                <w:rFonts w:ascii="Times New Roman" w:hAnsi="Times New Roman" w:cstheme="minorHAnsi"/>
              </w:rPr>
              <w:t>光散射法</w:t>
            </w:r>
          </w:p>
        </w:tc>
        <w:tc>
          <w:tcPr>
            <w:tcW w:w="1404" w:type="pct"/>
            <w:gridSpan w:val="2"/>
            <w:vAlign w:val="center"/>
          </w:tcPr>
          <w:p>
            <w:pPr>
              <w:jc w:val="center"/>
              <w:rPr>
                <w:rFonts w:ascii="Times New Roman" w:hAnsi="Times New Roman" w:cstheme="minorHAnsi"/>
              </w:rPr>
            </w:pPr>
            <w:r>
              <w:rPr>
                <w:rFonts w:ascii="Times New Roman" w:hAnsi="Times New Roman" w:cstheme="minorHAnsi"/>
              </w:rPr>
              <w:t>光散射法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230" w:type="pct"/>
            <w:gridSpan w:val="6"/>
            <w:vAlign w:val="center"/>
          </w:tcPr>
          <w:p>
            <w:pPr>
              <w:jc w:val="center"/>
              <w:rPr>
                <w:rFonts w:ascii="Times New Roman" w:hAnsi="Times New Roman" w:cstheme="minorHAnsi"/>
              </w:rPr>
            </w:pPr>
            <w:r>
              <w:rPr>
                <w:rFonts w:ascii="Times New Roman" w:hAnsi="Times New Roman" w:cstheme="minorHAnsi"/>
              </w:rPr>
              <w:t>测量范围</w:t>
            </w:r>
          </w:p>
        </w:tc>
        <w:tc>
          <w:tcPr>
            <w:tcW w:w="1365" w:type="pct"/>
            <w:gridSpan w:val="2"/>
            <w:vAlign w:val="center"/>
          </w:tcPr>
          <w:p>
            <w:pPr>
              <w:jc w:val="center"/>
              <w:rPr>
                <w:rFonts w:ascii="Times New Roman" w:hAnsi="Times New Roman" w:cstheme="minorHAnsi"/>
              </w:rPr>
            </w:pPr>
            <w:r>
              <w:rPr>
                <w:rFonts w:ascii="Times New Roman" w:hAnsi="Times New Roman" w:cstheme="minorHAnsi"/>
              </w:rPr>
              <w:t>0～2000μg/m3</w:t>
            </w:r>
          </w:p>
        </w:tc>
        <w:tc>
          <w:tcPr>
            <w:tcW w:w="1404" w:type="pct"/>
            <w:gridSpan w:val="2"/>
            <w:vAlign w:val="center"/>
          </w:tcPr>
          <w:p>
            <w:pPr>
              <w:jc w:val="center"/>
              <w:rPr>
                <w:rFonts w:ascii="Times New Roman" w:hAnsi="Times New Roman" w:cstheme="minorHAnsi"/>
              </w:rPr>
            </w:pPr>
            <w:r>
              <w:rPr>
                <w:rFonts w:ascii="Times New Roman" w:hAnsi="Times New Roman" w:cstheme="minorHAnsi"/>
              </w:rPr>
              <w:t>0～2000μg/m3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230" w:type="pct"/>
            <w:gridSpan w:val="6"/>
            <w:vAlign w:val="center"/>
          </w:tcPr>
          <w:p>
            <w:pPr>
              <w:jc w:val="center"/>
              <w:rPr>
                <w:rFonts w:ascii="Times New Roman" w:hAnsi="Times New Roman" w:cstheme="minorHAnsi"/>
              </w:rPr>
            </w:pPr>
            <w:r>
              <w:rPr>
                <w:rFonts w:ascii="Times New Roman" w:hAnsi="Times New Roman" w:cstheme="minorHAnsi"/>
              </w:rPr>
              <w:t>最小分辨率</w:t>
            </w:r>
          </w:p>
        </w:tc>
        <w:tc>
          <w:tcPr>
            <w:tcW w:w="1365" w:type="pct"/>
            <w:gridSpan w:val="2"/>
            <w:vAlign w:val="center"/>
          </w:tcPr>
          <w:p>
            <w:pPr>
              <w:jc w:val="center"/>
              <w:rPr>
                <w:rFonts w:ascii="Times New Roman" w:hAnsi="Times New Roman" w:cstheme="minorHAnsi"/>
              </w:rPr>
            </w:pPr>
            <w:r>
              <w:rPr>
                <w:rFonts w:ascii="Times New Roman" w:hAnsi="Times New Roman" w:cstheme="minorHAnsi"/>
              </w:rPr>
              <w:t>1μg/m3</w:t>
            </w:r>
          </w:p>
        </w:tc>
        <w:tc>
          <w:tcPr>
            <w:tcW w:w="1404" w:type="pct"/>
            <w:gridSpan w:val="2"/>
            <w:vAlign w:val="center"/>
          </w:tcPr>
          <w:p>
            <w:pPr>
              <w:jc w:val="center"/>
              <w:rPr>
                <w:rFonts w:ascii="Times New Roman" w:hAnsi="Times New Roman" w:cstheme="minorHAnsi"/>
              </w:rPr>
            </w:pPr>
            <w:r>
              <w:rPr>
                <w:rFonts w:ascii="Times New Roman" w:hAnsi="Times New Roman" w:cstheme="minorHAnsi"/>
              </w:rPr>
              <w:t>1μg/m3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230" w:type="pct"/>
            <w:gridSpan w:val="6"/>
            <w:vAlign w:val="center"/>
          </w:tcPr>
          <w:p>
            <w:pPr>
              <w:jc w:val="center"/>
              <w:rPr>
                <w:rFonts w:ascii="Times New Roman" w:hAnsi="Times New Roman" w:cstheme="minorHAnsi"/>
              </w:rPr>
            </w:pPr>
            <w:r>
              <w:rPr>
                <w:rFonts w:ascii="Times New Roman" w:hAnsi="Times New Roman" w:cstheme="minorHAnsi"/>
              </w:rPr>
              <w:t>最低检出限</w:t>
            </w:r>
          </w:p>
        </w:tc>
        <w:tc>
          <w:tcPr>
            <w:tcW w:w="1365" w:type="pct"/>
            <w:gridSpan w:val="2"/>
            <w:vAlign w:val="center"/>
          </w:tcPr>
          <w:p>
            <w:pPr>
              <w:jc w:val="center"/>
              <w:rPr>
                <w:rFonts w:ascii="Times New Roman" w:hAnsi="Times New Roman" w:cstheme="minorHAnsi"/>
              </w:rPr>
            </w:pPr>
            <w:r>
              <w:rPr>
                <w:rFonts w:ascii="Times New Roman" w:hAnsi="Times New Roman" w:cstheme="minorHAnsi"/>
              </w:rPr>
              <w:t>3μg/m3</w:t>
            </w:r>
          </w:p>
        </w:tc>
        <w:tc>
          <w:tcPr>
            <w:tcW w:w="1404" w:type="pct"/>
            <w:gridSpan w:val="2"/>
            <w:vAlign w:val="center"/>
          </w:tcPr>
          <w:p>
            <w:pPr>
              <w:jc w:val="center"/>
              <w:rPr>
                <w:rFonts w:ascii="Times New Roman" w:hAnsi="Times New Roman" w:cstheme="minorHAnsi"/>
              </w:rPr>
            </w:pPr>
            <w:r>
              <w:rPr>
                <w:rFonts w:ascii="Times New Roman" w:hAnsi="Times New Roman" w:cstheme="minorHAnsi"/>
              </w:rPr>
              <w:t>5μg/m3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230" w:type="pct"/>
            <w:gridSpan w:val="6"/>
            <w:vAlign w:val="center"/>
          </w:tcPr>
          <w:p>
            <w:pPr>
              <w:jc w:val="center"/>
              <w:rPr>
                <w:rFonts w:ascii="Times New Roman" w:hAnsi="Times New Roman" w:cstheme="minorHAnsi"/>
              </w:rPr>
            </w:pPr>
            <w:r>
              <w:rPr>
                <w:rFonts w:ascii="Times New Roman" w:hAnsi="Times New Roman" w:cstheme="minorHAnsi"/>
              </w:rPr>
              <w:t>使用环境温度（</w:t>
            </w:r>
            <w:r>
              <w:rPr>
                <w:rFonts w:hint="eastAsia"/>
              </w:rPr>
              <w:t>℃</w:t>
            </w:r>
            <w:r>
              <w:rPr>
                <w:rFonts w:ascii="Times New Roman" w:hAnsi="Times New Roman" w:cstheme="minorHAnsi"/>
              </w:rPr>
              <w:t>）</w:t>
            </w:r>
          </w:p>
        </w:tc>
        <w:tc>
          <w:tcPr>
            <w:tcW w:w="1365" w:type="pct"/>
            <w:gridSpan w:val="2"/>
            <w:vAlign w:val="center"/>
          </w:tcPr>
          <w:p>
            <w:pPr>
              <w:jc w:val="center"/>
              <w:rPr>
                <w:rFonts w:ascii="Times New Roman" w:hAnsi="Times New Roman" w:cstheme="minorHAnsi"/>
              </w:rPr>
            </w:pPr>
            <w:r>
              <w:rPr>
                <w:rFonts w:ascii="Times New Roman" w:hAnsi="Times New Roman" w:cstheme="minorHAnsi"/>
              </w:rPr>
              <w:t>-20～55</w:t>
            </w:r>
          </w:p>
        </w:tc>
        <w:tc>
          <w:tcPr>
            <w:tcW w:w="1404" w:type="pct"/>
            <w:gridSpan w:val="2"/>
            <w:vAlign w:val="center"/>
          </w:tcPr>
          <w:p>
            <w:pPr>
              <w:jc w:val="center"/>
              <w:rPr>
                <w:rFonts w:ascii="Times New Roman" w:hAnsi="Times New Roman" w:cstheme="minorHAnsi"/>
              </w:rPr>
            </w:pPr>
            <w:r>
              <w:rPr>
                <w:rFonts w:ascii="Times New Roman" w:hAnsi="Times New Roman" w:cstheme="minorHAnsi"/>
              </w:rPr>
              <w:t>-20～55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925" w:type="pct"/>
            <w:gridSpan w:val="2"/>
            <w:vMerge w:val="restart"/>
            <w:vAlign w:val="center"/>
          </w:tcPr>
          <w:p>
            <w:pPr>
              <w:jc w:val="both"/>
              <w:rPr>
                <w:rFonts w:ascii="Times New Roman" w:hAnsi="Times New Roman" w:cstheme="minorHAnsi"/>
              </w:rPr>
            </w:pPr>
            <w:r>
              <w:rPr>
                <w:rFonts w:ascii="Times New Roman" w:hAnsi="Times New Roman" w:cstheme="minorHAnsi"/>
              </w:rPr>
              <w:t>室外比对</w:t>
            </w:r>
          </w:p>
          <w:p>
            <w:pPr>
              <w:jc w:val="both"/>
              <w:rPr>
                <w:rFonts w:ascii="Times New Roman" w:hAnsi="Times New Roman" w:cstheme="minorHAnsi"/>
              </w:rPr>
            </w:pPr>
            <w:r>
              <w:rPr>
                <w:rFonts w:ascii="Times New Roman" w:hAnsi="Times New Roman" w:cstheme="minorHAnsi"/>
              </w:rPr>
              <w:t>测量误差</w:t>
            </w:r>
          </w:p>
        </w:tc>
        <w:tc>
          <w:tcPr>
            <w:tcW w:w="1304" w:type="pct"/>
            <w:gridSpan w:val="4"/>
            <w:vAlign w:val="center"/>
          </w:tcPr>
          <w:p>
            <w:pPr>
              <w:jc w:val="both"/>
              <w:rPr>
                <w:rFonts w:ascii="Times New Roman" w:hAnsi="Times New Roman" w:cstheme="minorHAnsi"/>
              </w:rPr>
            </w:pPr>
            <w:r>
              <w:rPr>
                <w:rFonts w:ascii="Times New Roman" w:hAnsi="Times New Roman" w:cstheme="minorHAnsi"/>
              </w:rPr>
              <w:t>(0～100)μg/m3</w:t>
            </w:r>
          </w:p>
        </w:tc>
        <w:tc>
          <w:tcPr>
            <w:tcW w:w="1365" w:type="pct"/>
            <w:gridSpan w:val="2"/>
            <w:vAlign w:val="center"/>
          </w:tcPr>
          <w:p>
            <w:pPr>
              <w:jc w:val="center"/>
              <w:rPr>
                <w:rFonts w:ascii="Times New Roman" w:hAnsi="Times New Roman" w:cstheme="minorHAnsi"/>
              </w:rPr>
            </w:pPr>
            <w:r>
              <w:rPr>
                <w:rFonts w:ascii="Times New Roman" w:hAnsi="Times New Roman" w:cstheme="minorHAnsi"/>
              </w:rPr>
              <w:t>±15μg/m3</w:t>
            </w:r>
          </w:p>
        </w:tc>
        <w:tc>
          <w:tcPr>
            <w:tcW w:w="1404" w:type="pct"/>
            <w:gridSpan w:val="2"/>
            <w:vAlign w:val="center"/>
          </w:tcPr>
          <w:p>
            <w:pPr>
              <w:jc w:val="center"/>
              <w:rPr>
                <w:rFonts w:ascii="Times New Roman" w:hAnsi="Times New Roman" w:cstheme="minorHAnsi"/>
              </w:rPr>
            </w:pPr>
            <w:r>
              <w:rPr>
                <w:rFonts w:ascii="Times New Roman" w:hAnsi="Times New Roman" w:cstheme="minorHAnsi"/>
              </w:rPr>
              <w:t>±20μg/m3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925" w:type="pct"/>
            <w:gridSpan w:val="2"/>
            <w:vMerge w:val="continue"/>
            <w:vAlign w:val="center"/>
          </w:tcPr>
          <w:p>
            <w:pPr>
              <w:jc w:val="both"/>
              <w:rPr>
                <w:rFonts w:ascii="Times New Roman" w:hAnsi="Times New Roman" w:cstheme="minorHAnsi"/>
              </w:rPr>
            </w:pPr>
          </w:p>
        </w:tc>
        <w:tc>
          <w:tcPr>
            <w:tcW w:w="1304" w:type="pct"/>
            <w:gridSpan w:val="4"/>
            <w:vAlign w:val="center"/>
          </w:tcPr>
          <w:p>
            <w:pPr>
              <w:jc w:val="both"/>
              <w:rPr>
                <w:rFonts w:ascii="Times New Roman" w:hAnsi="Times New Roman" w:cstheme="minorHAnsi"/>
              </w:rPr>
            </w:pPr>
            <w:r>
              <w:rPr>
                <w:rFonts w:ascii="Times New Roman" w:hAnsi="Times New Roman" w:cstheme="minorHAnsi"/>
              </w:rPr>
              <w:t>(100～2000)μg/m3</w:t>
            </w:r>
          </w:p>
        </w:tc>
        <w:tc>
          <w:tcPr>
            <w:tcW w:w="1365" w:type="pct"/>
            <w:gridSpan w:val="2"/>
            <w:vAlign w:val="center"/>
          </w:tcPr>
          <w:p>
            <w:pPr>
              <w:jc w:val="center"/>
              <w:rPr>
                <w:rFonts w:ascii="Times New Roman" w:hAnsi="Times New Roman" w:cstheme="minorHAnsi"/>
              </w:rPr>
            </w:pPr>
            <w:r>
              <w:rPr>
                <w:rFonts w:ascii="Times New Roman" w:hAnsi="Times New Roman" w:cstheme="minorHAnsi"/>
              </w:rPr>
              <w:t>±15%</w:t>
            </w:r>
          </w:p>
        </w:tc>
        <w:tc>
          <w:tcPr>
            <w:tcW w:w="1404" w:type="pct"/>
            <w:gridSpan w:val="2"/>
            <w:vAlign w:val="center"/>
          </w:tcPr>
          <w:p>
            <w:pPr>
              <w:jc w:val="center"/>
              <w:rPr>
                <w:rFonts w:ascii="Times New Roman" w:hAnsi="Times New Roman" w:cstheme="minorHAnsi"/>
              </w:rPr>
            </w:pPr>
            <w:r>
              <w:rPr>
                <w:rFonts w:ascii="Times New Roman" w:hAnsi="Times New Roman" w:cstheme="minorHAnsi"/>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230" w:type="pct"/>
            <w:gridSpan w:val="6"/>
            <w:vAlign w:val="center"/>
          </w:tcPr>
          <w:p>
            <w:pPr>
              <w:jc w:val="center"/>
              <w:rPr>
                <w:rFonts w:ascii="Times New Roman" w:hAnsi="Times New Roman" w:cstheme="minorHAnsi"/>
              </w:rPr>
            </w:pPr>
            <w:r>
              <w:rPr>
                <w:rFonts w:ascii="Times New Roman" w:hAnsi="Times New Roman" w:cstheme="minorHAnsi"/>
              </w:rPr>
              <w:t>室外比对测量相关系数r</w:t>
            </w:r>
          </w:p>
        </w:tc>
        <w:tc>
          <w:tcPr>
            <w:tcW w:w="1365" w:type="pct"/>
            <w:gridSpan w:val="2"/>
            <w:vAlign w:val="center"/>
          </w:tcPr>
          <w:p>
            <w:pPr>
              <w:jc w:val="center"/>
              <w:rPr>
                <w:rFonts w:ascii="Times New Roman" w:hAnsi="Times New Roman" w:cstheme="minorHAnsi"/>
              </w:rPr>
            </w:pPr>
            <w:r>
              <w:rPr>
                <w:rFonts w:ascii="Times New Roman" w:hAnsi="Times New Roman" w:cstheme="minorHAnsi"/>
              </w:rPr>
              <w:t>≥0.85</w:t>
            </w:r>
          </w:p>
        </w:tc>
        <w:tc>
          <w:tcPr>
            <w:tcW w:w="1404" w:type="pct"/>
            <w:gridSpan w:val="2"/>
            <w:vAlign w:val="center"/>
          </w:tcPr>
          <w:p>
            <w:pPr>
              <w:jc w:val="center"/>
              <w:rPr>
                <w:rFonts w:ascii="Times New Roman" w:hAnsi="Times New Roman" w:cstheme="minorHAnsi"/>
              </w:rPr>
            </w:pPr>
            <w:r>
              <w:rPr>
                <w:rFonts w:ascii="Times New Roman" w:hAnsi="Times New Roman" w:cstheme="minorHAnsi"/>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230" w:type="pct"/>
            <w:gridSpan w:val="6"/>
            <w:vAlign w:val="center"/>
          </w:tcPr>
          <w:p>
            <w:pPr>
              <w:jc w:val="center"/>
              <w:rPr>
                <w:rFonts w:ascii="Times New Roman" w:hAnsi="Times New Roman" w:cstheme="minorHAnsi"/>
              </w:rPr>
            </w:pPr>
            <w:r>
              <w:rPr>
                <w:rFonts w:ascii="Times New Roman" w:hAnsi="Times New Roman" w:cstheme="minorHAnsi"/>
              </w:rPr>
              <w:t>仪器平行性</w:t>
            </w:r>
          </w:p>
        </w:tc>
        <w:tc>
          <w:tcPr>
            <w:tcW w:w="1365" w:type="pct"/>
            <w:gridSpan w:val="2"/>
            <w:vAlign w:val="center"/>
          </w:tcPr>
          <w:p>
            <w:pPr>
              <w:jc w:val="center"/>
              <w:rPr>
                <w:rFonts w:ascii="Times New Roman" w:hAnsi="Times New Roman" w:cstheme="minorHAnsi"/>
              </w:rPr>
            </w:pPr>
            <w:r>
              <w:rPr>
                <w:rFonts w:ascii="Times New Roman" w:hAnsi="Times New Roman" w:cstheme="minorHAnsi"/>
              </w:rPr>
              <w:t>≤10%</w:t>
            </w:r>
          </w:p>
        </w:tc>
        <w:tc>
          <w:tcPr>
            <w:tcW w:w="1404" w:type="pct"/>
            <w:gridSpan w:val="2"/>
            <w:vAlign w:val="center"/>
          </w:tcPr>
          <w:p>
            <w:pPr>
              <w:jc w:val="center"/>
              <w:rPr>
                <w:rFonts w:ascii="Times New Roman" w:hAnsi="Times New Roman" w:cstheme="minorHAnsi"/>
              </w:rPr>
            </w:pPr>
            <w:r>
              <w:rPr>
                <w:rFonts w:ascii="Times New Roman" w:hAnsi="Times New Roman" w:cstheme="minorHAnsi"/>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vAlign w:val="center"/>
          </w:tcPr>
          <w:p>
            <w:pPr>
              <w:jc w:val="center"/>
              <w:rPr>
                <w:rFonts w:ascii="Times New Roman" w:hAnsi="Times New Roman" w:cs="Times New Roman"/>
                <w:szCs w:val="21"/>
              </w:rPr>
            </w:pPr>
            <w:r>
              <w:rPr>
                <w:rFonts w:ascii="Times New Roman" w:hAnsi="Times New Roman" w:cs="Times New Roman"/>
                <w:szCs w:val="21"/>
              </w:rPr>
              <w:t>气态污染物性能指标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ascii="Times New Roman" w:hAnsi="Times New Roman" w:cs="Times New Roman"/>
                <w:szCs w:val="21"/>
              </w:rPr>
              <w:t>测量参数</w:t>
            </w:r>
          </w:p>
        </w:tc>
        <w:tc>
          <w:tcPr>
            <w:tcW w:w="458" w:type="pct"/>
            <w:gridSpan w:val="2"/>
            <w:vAlign w:val="center"/>
          </w:tcPr>
          <w:p>
            <w:pPr>
              <w:jc w:val="center"/>
              <w:rPr>
                <w:rFonts w:ascii="Times New Roman" w:hAnsi="Times New Roman" w:cs="Times New Roman"/>
                <w:szCs w:val="21"/>
              </w:rPr>
            </w:pPr>
            <w:r>
              <w:rPr>
                <w:rFonts w:ascii="Times New Roman" w:hAnsi="Times New Roman" w:cs="Times New Roman"/>
                <w:szCs w:val="21"/>
              </w:rPr>
              <w:t>SO2</w:t>
            </w:r>
          </w:p>
        </w:tc>
        <w:tc>
          <w:tcPr>
            <w:tcW w:w="485" w:type="pct"/>
            <w:vAlign w:val="center"/>
          </w:tcPr>
          <w:p>
            <w:pPr>
              <w:jc w:val="center"/>
              <w:rPr>
                <w:rFonts w:ascii="Times New Roman" w:hAnsi="Times New Roman" w:cs="Times New Roman"/>
                <w:szCs w:val="21"/>
              </w:rPr>
            </w:pPr>
            <w:r>
              <w:rPr>
                <w:rFonts w:ascii="Times New Roman" w:hAnsi="Times New Roman" w:cs="Times New Roman"/>
                <w:szCs w:val="21"/>
              </w:rPr>
              <w:t>NO2</w:t>
            </w:r>
          </w:p>
        </w:tc>
        <w:tc>
          <w:tcPr>
            <w:tcW w:w="367" w:type="pct"/>
            <w:vAlign w:val="center"/>
          </w:tcPr>
          <w:p>
            <w:pPr>
              <w:jc w:val="center"/>
              <w:rPr>
                <w:rFonts w:ascii="Times New Roman" w:hAnsi="Times New Roman" w:cs="Times New Roman"/>
                <w:szCs w:val="21"/>
              </w:rPr>
            </w:pPr>
            <w:r>
              <w:rPr>
                <w:rFonts w:ascii="Times New Roman" w:hAnsi="Times New Roman" w:cs="Times New Roman"/>
                <w:szCs w:val="21"/>
              </w:rPr>
              <w:t>O3</w:t>
            </w:r>
          </w:p>
        </w:tc>
        <w:tc>
          <w:tcPr>
            <w:tcW w:w="918" w:type="pct"/>
            <w:gridSpan w:val="2"/>
            <w:vAlign w:val="center"/>
          </w:tcPr>
          <w:p>
            <w:pPr>
              <w:jc w:val="center"/>
              <w:rPr>
                <w:rFonts w:ascii="Times New Roman" w:hAnsi="Times New Roman" w:cs="Times New Roman"/>
                <w:szCs w:val="21"/>
              </w:rPr>
            </w:pPr>
            <w:r>
              <w:rPr>
                <w:rFonts w:ascii="Times New Roman" w:hAnsi="Times New Roman" w:cs="Times New Roman"/>
                <w:szCs w:val="21"/>
              </w:rPr>
              <w:t>CO</w:t>
            </w:r>
          </w:p>
        </w:tc>
        <w:tc>
          <w:tcPr>
            <w:tcW w:w="937" w:type="pct"/>
            <w:gridSpan w:val="2"/>
            <w:vAlign w:val="center"/>
          </w:tcPr>
          <w:p>
            <w:pPr>
              <w:jc w:val="center"/>
              <w:rPr>
                <w:rFonts w:ascii="Times New Roman" w:hAnsi="Times New Roman" w:cs="Times New Roman"/>
                <w:szCs w:val="21"/>
              </w:rPr>
            </w:pPr>
            <w:r>
              <w:rPr>
                <w:rFonts w:ascii="Times New Roman" w:hAnsi="Times New Roman" w:cs="Times New Roman"/>
                <w:szCs w:val="21"/>
              </w:rPr>
              <w:t>温度</w:t>
            </w:r>
          </w:p>
        </w:tc>
        <w:tc>
          <w:tcPr>
            <w:tcW w:w="941" w:type="pct"/>
            <w:vAlign w:val="center"/>
          </w:tcPr>
          <w:p>
            <w:pPr>
              <w:jc w:val="center"/>
              <w:rPr>
                <w:rFonts w:ascii="Times New Roman" w:hAnsi="Times New Roman" w:cs="Times New Roman"/>
                <w:szCs w:val="21"/>
              </w:rPr>
            </w:pPr>
            <w:r>
              <w:rPr>
                <w:rFonts w:ascii="Times New Roman" w:hAnsi="Times New Roman" w:cs="Times New Roman"/>
                <w:szCs w:val="21"/>
              </w:rPr>
              <w:t>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hint="eastAsia" w:ascii="Times New Roman" w:hAnsi="Times New Roman" w:cs="Times New Roman"/>
                <w:szCs w:val="21"/>
              </w:rPr>
              <w:t>工作原理</w:t>
            </w:r>
          </w:p>
        </w:tc>
        <w:tc>
          <w:tcPr>
            <w:tcW w:w="2228" w:type="pct"/>
            <w:gridSpan w:val="6"/>
            <w:vAlign w:val="center"/>
          </w:tcPr>
          <w:p>
            <w:pPr>
              <w:jc w:val="center"/>
              <w:rPr>
                <w:rFonts w:ascii="Times New Roman" w:hAnsi="Times New Roman" w:cs="Times New Roman"/>
                <w:szCs w:val="21"/>
              </w:rPr>
            </w:pPr>
            <w:r>
              <w:rPr>
                <w:rFonts w:hint="eastAsia" w:ascii="Times New Roman" w:hAnsi="Times New Roman" w:cs="Times New Roman"/>
                <w:szCs w:val="21"/>
              </w:rPr>
              <w:t>电化学</w:t>
            </w:r>
          </w:p>
        </w:tc>
        <w:tc>
          <w:tcPr>
            <w:tcW w:w="1879" w:type="pct"/>
            <w:gridSpan w:val="3"/>
            <w:vAlign w:val="center"/>
          </w:tcPr>
          <w:p>
            <w:pPr>
              <w:jc w:val="center"/>
              <w:rPr>
                <w:rFonts w:ascii="Times New Roman" w:hAnsi="Times New Roman" w:cs="Times New Roman"/>
                <w:szCs w:val="21"/>
              </w:rPr>
            </w:pPr>
            <w:r>
              <w:rPr>
                <w:rFonts w:hint="eastAsia" w:ascii="Times New Roman" w:hAnsi="Times New Roman" w:cs="Times New Roman"/>
                <w:szCs w:val="21"/>
              </w:rPr>
              <w:t>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ascii="Times New Roman" w:hAnsi="Times New Roman" w:cs="Times New Roman"/>
                <w:szCs w:val="21"/>
              </w:rPr>
              <w:t>测量范围</w:t>
            </w:r>
          </w:p>
        </w:tc>
        <w:tc>
          <w:tcPr>
            <w:tcW w:w="1310" w:type="pct"/>
            <w:gridSpan w:val="4"/>
            <w:vAlign w:val="center"/>
          </w:tcPr>
          <w:p>
            <w:pPr>
              <w:jc w:val="center"/>
              <w:rPr>
                <w:rFonts w:ascii="Times New Roman" w:hAnsi="Times New Roman" w:cstheme="minorHAnsi"/>
                <w:szCs w:val="21"/>
              </w:rPr>
            </w:pPr>
            <w:r>
              <w:rPr>
                <w:rFonts w:ascii="Times New Roman" w:hAnsi="Times New Roman" w:cstheme="minorHAnsi"/>
                <w:szCs w:val="21"/>
              </w:rPr>
              <w:t>（0-500）ppb</w:t>
            </w:r>
          </w:p>
        </w:tc>
        <w:tc>
          <w:tcPr>
            <w:tcW w:w="918" w:type="pct"/>
            <w:gridSpan w:val="2"/>
            <w:vAlign w:val="center"/>
          </w:tcPr>
          <w:p>
            <w:pPr>
              <w:jc w:val="center"/>
              <w:rPr>
                <w:rFonts w:ascii="Times New Roman" w:hAnsi="Times New Roman" w:cstheme="minorHAnsi"/>
                <w:szCs w:val="21"/>
              </w:rPr>
            </w:pPr>
            <w:r>
              <w:rPr>
                <w:rFonts w:ascii="Times New Roman" w:hAnsi="Times New Roman" w:cstheme="minorHAnsi"/>
                <w:szCs w:val="21"/>
              </w:rPr>
              <w:t>（0-5）ppm</w:t>
            </w:r>
          </w:p>
        </w:tc>
        <w:tc>
          <w:tcPr>
            <w:tcW w:w="937" w:type="pct"/>
            <w:gridSpan w:val="2"/>
            <w:vAlign w:val="center"/>
          </w:tcPr>
          <w:p>
            <w:pPr>
              <w:jc w:val="center"/>
              <w:rPr>
                <w:rFonts w:ascii="Times New Roman" w:hAnsi="Times New Roman" w:cstheme="minorHAnsi"/>
                <w:szCs w:val="21"/>
              </w:rPr>
            </w:pPr>
            <w:r>
              <w:rPr>
                <w:rFonts w:ascii="Times New Roman" w:hAnsi="Times New Roman" w:cstheme="minorHAnsi"/>
                <w:szCs w:val="21"/>
              </w:rPr>
              <w:t>(-40-55)</w:t>
            </w:r>
            <w:r>
              <w:rPr>
                <w:rFonts w:hint="eastAsia"/>
                <w:szCs w:val="21"/>
              </w:rPr>
              <w:t>℃</w:t>
            </w:r>
          </w:p>
        </w:tc>
        <w:tc>
          <w:tcPr>
            <w:tcW w:w="941" w:type="pct"/>
            <w:vAlign w:val="center"/>
          </w:tcPr>
          <w:p>
            <w:pPr>
              <w:jc w:val="center"/>
              <w:rPr>
                <w:rFonts w:ascii="Times New Roman" w:hAnsi="Times New Roman" w:cstheme="minorHAnsi"/>
                <w:szCs w:val="21"/>
              </w:rPr>
            </w:pPr>
            <w:r>
              <w:rPr>
                <w:rFonts w:ascii="Times New Roman" w:hAnsi="Times New Roman" w:cstheme="minorHAnsi"/>
                <w:szCs w:val="21"/>
              </w:rPr>
              <w:t>(5-95)%RH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hint="eastAsia" w:ascii="Times New Roman" w:hAnsi="Times New Roman" w:cs="Times New Roman"/>
                <w:szCs w:val="21"/>
              </w:rPr>
              <w:t>分辨率</w:t>
            </w:r>
          </w:p>
        </w:tc>
        <w:tc>
          <w:tcPr>
            <w:tcW w:w="1310" w:type="pct"/>
            <w:gridSpan w:val="4"/>
            <w:vAlign w:val="center"/>
          </w:tcPr>
          <w:p>
            <w:pPr>
              <w:jc w:val="center"/>
              <w:rPr>
                <w:rFonts w:ascii="Times New Roman" w:hAnsi="Times New Roman" w:cstheme="minorHAnsi"/>
                <w:szCs w:val="21"/>
              </w:rPr>
            </w:pPr>
            <w:r>
              <w:rPr>
                <w:rFonts w:ascii="Times New Roman" w:hAnsi="Times New Roman" w:cstheme="minorHAnsi"/>
                <w:szCs w:val="21"/>
              </w:rPr>
              <w:t>0.1ppb</w:t>
            </w:r>
          </w:p>
        </w:tc>
        <w:tc>
          <w:tcPr>
            <w:tcW w:w="918" w:type="pct"/>
            <w:gridSpan w:val="2"/>
            <w:vAlign w:val="center"/>
          </w:tcPr>
          <w:p>
            <w:pPr>
              <w:jc w:val="center"/>
              <w:rPr>
                <w:rFonts w:ascii="Times New Roman" w:hAnsi="Times New Roman" w:cstheme="minorHAnsi"/>
                <w:szCs w:val="21"/>
              </w:rPr>
            </w:pPr>
            <w:r>
              <w:rPr>
                <w:rFonts w:ascii="Times New Roman" w:hAnsi="Times New Roman" w:cstheme="minorHAnsi"/>
                <w:szCs w:val="21"/>
              </w:rPr>
              <w:t>0.01ppm</w:t>
            </w:r>
          </w:p>
        </w:tc>
        <w:tc>
          <w:tcPr>
            <w:tcW w:w="937" w:type="pct"/>
            <w:gridSpan w:val="2"/>
            <w:vAlign w:val="center"/>
          </w:tcPr>
          <w:p>
            <w:pPr>
              <w:jc w:val="center"/>
              <w:rPr>
                <w:rFonts w:ascii="Times New Roman" w:hAnsi="Times New Roman" w:cstheme="minorHAnsi"/>
                <w:szCs w:val="21"/>
              </w:rPr>
            </w:pPr>
            <w:r>
              <w:rPr>
                <w:rFonts w:ascii="Times New Roman" w:hAnsi="Times New Roman" w:cstheme="minorHAnsi"/>
                <w:szCs w:val="21"/>
              </w:rPr>
              <w:t>±1</w:t>
            </w:r>
            <w:r>
              <w:rPr>
                <w:rFonts w:hint="eastAsia"/>
                <w:szCs w:val="21"/>
              </w:rPr>
              <w:t>℃</w:t>
            </w:r>
          </w:p>
        </w:tc>
        <w:tc>
          <w:tcPr>
            <w:tcW w:w="941" w:type="pct"/>
            <w:vAlign w:val="center"/>
          </w:tcPr>
          <w:p>
            <w:pPr>
              <w:jc w:val="center"/>
              <w:rPr>
                <w:rFonts w:ascii="Times New Roman" w:hAnsi="Times New Roman" w:cstheme="minorHAnsi"/>
                <w:szCs w:val="21"/>
              </w:rPr>
            </w:pPr>
            <w:r>
              <w:rPr>
                <w:rFonts w:ascii="Times New Roman" w:hAnsi="Times New Roman" w:cstheme="minorHAnsi"/>
                <w:szCs w:val="21"/>
              </w:rPr>
              <w:t>±1%RH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ascii="Times New Roman" w:hAnsi="Times New Roman" w:cs="Times New Roman"/>
                <w:szCs w:val="21"/>
              </w:rPr>
              <w:t>示值误差</w:t>
            </w:r>
          </w:p>
        </w:tc>
        <w:tc>
          <w:tcPr>
            <w:tcW w:w="1310" w:type="pct"/>
            <w:gridSpan w:val="4"/>
            <w:vAlign w:val="center"/>
          </w:tcPr>
          <w:p>
            <w:pPr>
              <w:jc w:val="center"/>
              <w:rPr>
                <w:rFonts w:ascii="Times New Roman" w:hAnsi="Times New Roman" w:cstheme="minorHAnsi"/>
                <w:szCs w:val="21"/>
              </w:rPr>
            </w:pPr>
            <w:r>
              <w:rPr>
                <w:rFonts w:ascii="Times New Roman" w:hAnsi="Times New Roman" w:cstheme="minorHAnsi"/>
                <w:szCs w:val="21"/>
              </w:rPr>
              <w:t>±10% FS</w:t>
            </w:r>
          </w:p>
        </w:tc>
        <w:tc>
          <w:tcPr>
            <w:tcW w:w="918" w:type="pct"/>
            <w:gridSpan w:val="2"/>
            <w:vAlign w:val="center"/>
          </w:tcPr>
          <w:p>
            <w:pPr>
              <w:jc w:val="center"/>
              <w:rPr>
                <w:rFonts w:ascii="Times New Roman" w:hAnsi="Times New Roman" w:cstheme="minorHAnsi"/>
                <w:szCs w:val="21"/>
              </w:rPr>
            </w:pPr>
            <w:r>
              <w:rPr>
                <w:rFonts w:ascii="Times New Roman" w:hAnsi="Times New Roman" w:cstheme="minorHAnsi"/>
                <w:szCs w:val="21"/>
              </w:rPr>
              <w:t>±10% FS</w:t>
            </w:r>
          </w:p>
        </w:tc>
        <w:tc>
          <w:tcPr>
            <w:tcW w:w="937" w:type="pct"/>
            <w:gridSpan w:val="2"/>
            <w:vAlign w:val="center"/>
          </w:tcPr>
          <w:p>
            <w:pPr>
              <w:jc w:val="center"/>
              <w:rPr>
                <w:rFonts w:ascii="Times New Roman" w:hAnsi="Times New Roman" w:cstheme="minorHAnsi"/>
                <w:szCs w:val="21"/>
              </w:rPr>
            </w:pPr>
            <w:r>
              <w:rPr>
                <w:rFonts w:ascii="Times New Roman" w:hAnsi="Times New Roman" w:cstheme="minorHAnsi"/>
                <w:szCs w:val="21"/>
              </w:rPr>
              <w:t>±2</w:t>
            </w:r>
            <w:r>
              <w:rPr>
                <w:rFonts w:hint="eastAsia"/>
                <w:szCs w:val="21"/>
              </w:rPr>
              <w:t>℃</w:t>
            </w:r>
          </w:p>
        </w:tc>
        <w:tc>
          <w:tcPr>
            <w:tcW w:w="941" w:type="pct"/>
            <w:vAlign w:val="center"/>
          </w:tcPr>
          <w:p>
            <w:pPr>
              <w:jc w:val="center"/>
              <w:rPr>
                <w:rFonts w:ascii="Times New Roman" w:hAnsi="Times New Roman" w:cstheme="minorHAnsi"/>
                <w:szCs w:val="21"/>
              </w:rPr>
            </w:pPr>
            <w:r>
              <w:rPr>
                <w:rFonts w:ascii="Times New Roman" w:hAnsi="Times New Roman" w:cstheme="minorHAnsi"/>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ascii="Times New Roman" w:hAnsi="Times New Roman" w:cs="Times New Roman"/>
                <w:szCs w:val="21"/>
              </w:rPr>
              <w:t>重复性</w:t>
            </w:r>
          </w:p>
        </w:tc>
        <w:tc>
          <w:tcPr>
            <w:tcW w:w="2228" w:type="pct"/>
            <w:gridSpan w:val="6"/>
            <w:vAlign w:val="center"/>
          </w:tcPr>
          <w:p>
            <w:pPr>
              <w:jc w:val="center"/>
              <w:rPr>
                <w:rFonts w:ascii="Times New Roman" w:hAnsi="Times New Roman" w:cstheme="minorHAnsi"/>
                <w:szCs w:val="21"/>
              </w:rPr>
            </w:pPr>
            <w:r>
              <w:rPr>
                <w:rFonts w:ascii="Times New Roman" w:hAnsi="Times New Roman" w:cstheme="minorHAnsi"/>
                <w:szCs w:val="21"/>
              </w:rPr>
              <w:t>5%</w:t>
            </w:r>
          </w:p>
        </w:tc>
        <w:tc>
          <w:tcPr>
            <w:tcW w:w="937" w:type="pct"/>
            <w:gridSpan w:val="2"/>
            <w:vAlign w:val="center"/>
          </w:tcPr>
          <w:p>
            <w:pPr>
              <w:jc w:val="center"/>
              <w:rPr>
                <w:rFonts w:ascii="Times New Roman" w:hAnsi="Times New Roman" w:cstheme="minorHAnsi"/>
                <w:szCs w:val="21"/>
              </w:rPr>
            </w:pPr>
            <w:r>
              <w:rPr>
                <w:rFonts w:hint="eastAsia" w:ascii="Times New Roman" w:hAnsi="Times New Roman" w:cstheme="minorHAnsi"/>
                <w:szCs w:val="21"/>
              </w:rPr>
              <w:t>/</w:t>
            </w:r>
          </w:p>
        </w:tc>
        <w:tc>
          <w:tcPr>
            <w:tcW w:w="941" w:type="pct"/>
            <w:vAlign w:val="center"/>
          </w:tcPr>
          <w:p>
            <w:pPr>
              <w:jc w:val="center"/>
              <w:rPr>
                <w:rFonts w:ascii="Times New Roman" w:hAnsi="Times New Roman" w:cstheme="minorHAnsi"/>
                <w:szCs w:val="21"/>
              </w:rPr>
            </w:pPr>
            <w:r>
              <w:rPr>
                <w:rFonts w:hint="eastAsia" w:ascii="Times New Roman" w:hAnsi="Times New Roman" w:cstheme="minorHAns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ascii="Times New Roman" w:hAnsi="Times New Roman" w:cs="Times New Roman"/>
                <w:szCs w:val="21"/>
              </w:rPr>
              <w:t>响应时间</w:t>
            </w:r>
          </w:p>
        </w:tc>
        <w:tc>
          <w:tcPr>
            <w:tcW w:w="2228" w:type="pct"/>
            <w:gridSpan w:val="6"/>
            <w:vAlign w:val="center"/>
          </w:tcPr>
          <w:p>
            <w:pPr>
              <w:jc w:val="center"/>
              <w:rPr>
                <w:rFonts w:ascii="Times New Roman" w:hAnsi="Times New Roman" w:cstheme="minorHAnsi"/>
                <w:szCs w:val="21"/>
              </w:rPr>
            </w:pPr>
            <w:r>
              <w:rPr>
                <w:rFonts w:ascii="Times New Roman" w:hAnsi="Times New Roman" w:cstheme="minorHAnsi"/>
                <w:szCs w:val="21"/>
              </w:rPr>
              <w:t>≤1min</w:t>
            </w:r>
          </w:p>
        </w:tc>
        <w:tc>
          <w:tcPr>
            <w:tcW w:w="937" w:type="pct"/>
            <w:gridSpan w:val="2"/>
            <w:vAlign w:val="center"/>
          </w:tcPr>
          <w:p>
            <w:pPr>
              <w:jc w:val="center"/>
              <w:rPr>
                <w:rFonts w:ascii="Times New Roman" w:hAnsi="Times New Roman" w:cs="Times New Roman"/>
              </w:rPr>
            </w:pPr>
            <w:r>
              <w:rPr>
                <w:rFonts w:hint="eastAsia" w:ascii="Times New Roman" w:hAnsi="Times New Roman" w:cstheme="minorHAnsi"/>
                <w:szCs w:val="21"/>
              </w:rPr>
              <w:t>/</w:t>
            </w:r>
          </w:p>
        </w:tc>
        <w:tc>
          <w:tcPr>
            <w:tcW w:w="941" w:type="pct"/>
            <w:vAlign w:val="center"/>
          </w:tcPr>
          <w:p>
            <w:pPr>
              <w:jc w:val="center"/>
              <w:rPr>
                <w:rFonts w:ascii="Times New Roman" w:hAnsi="Times New Roman" w:cs="Times New Roman"/>
              </w:rPr>
            </w:pPr>
            <w:r>
              <w:rPr>
                <w:rFonts w:hint="eastAsia" w:ascii="Times New Roman" w:hAnsi="Times New Roman" w:cstheme="minorHAns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ascii="Times New Roman" w:hAnsi="Times New Roman" w:cs="Times New Roman"/>
                <w:szCs w:val="21"/>
              </w:rPr>
              <w:t>零点漂移</w:t>
            </w:r>
          </w:p>
        </w:tc>
        <w:tc>
          <w:tcPr>
            <w:tcW w:w="1310" w:type="pct"/>
            <w:gridSpan w:val="4"/>
            <w:vAlign w:val="center"/>
          </w:tcPr>
          <w:p>
            <w:pPr>
              <w:jc w:val="center"/>
              <w:rPr>
                <w:rFonts w:ascii="Times New Roman" w:hAnsi="Times New Roman" w:cstheme="minorHAnsi"/>
                <w:szCs w:val="21"/>
              </w:rPr>
            </w:pPr>
            <w:r>
              <w:rPr>
                <w:rFonts w:ascii="Times New Roman" w:hAnsi="Times New Roman" w:cstheme="minorHAnsi"/>
                <w:szCs w:val="21"/>
              </w:rPr>
              <w:t>±10 ppb</w:t>
            </w:r>
          </w:p>
        </w:tc>
        <w:tc>
          <w:tcPr>
            <w:tcW w:w="918" w:type="pct"/>
            <w:gridSpan w:val="2"/>
            <w:vAlign w:val="center"/>
          </w:tcPr>
          <w:p>
            <w:pPr>
              <w:jc w:val="center"/>
              <w:rPr>
                <w:rFonts w:ascii="Times New Roman" w:hAnsi="Times New Roman" w:cstheme="minorHAnsi"/>
                <w:szCs w:val="21"/>
              </w:rPr>
            </w:pPr>
            <w:r>
              <w:rPr>
                <w:rFonts w:ascii="Times New Roman" w:hAnsi="Times New Roman" w:cstheme="minorHAnsi"/>
                <w:szCs w:val="21"/>
              </w:rPr>
              <w:t>±0.1ppm</w:t>
            </w:r>
          </w:p>
        </w:tc>
        <w:tc>
          <w:tcPr>
            <w:tcW w:w="937" w:type="pct"/>
            <w:gridSpan w:val="2"/>
            <w:vAlign w:val="center"/>
          </w:tcPr>
          <w:p>
            <w:pPr>
              <w:jc w:val="center"/>
              <w:rPr>
                <w:rFonts w:ascii="Times New Roman" w:hAnsi="Times New Roman" w:cs="Times New Roman"/>
              </w:rPr>
            </w:pPr>
            <w:r>
              <w:rPr>
                <w:rFonts w:hint="eastAsia" w:ascii="Times New Roman" w:hAnsi="Times New Roman" w:cstheme="minorHAnsi"/>
                <w:szCs w:val="21"/>
              </w:rPr>
              <w:t>/</w:t>
            </w:r>
          </w:p>
        </w:tc>
        <w:tc>
          <w:tcPr>
            <w:tcW w:w="941" w:type="pct"/>
            <w:vAlign w:val="center"/>
          </w:tcPr>
          <w:p>
            <w:pPr>
              <w:jc w:val="center"/>
              <w:rPr>
                <w:rFonts w:ascii="Times New Roman" w:hAnsi="Times New Roman" w:cs="Times New Roman"/>
              </w:rPr>
            </w:pPr>
            <w:r>
              <w:rPr>
                <w:rFonts w:hint="eastAsia" w:ascii="Times New Roman" w:hAnsi="Times New Roman" w:cstheme="minorHAns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ascii="Times New Roman" w:hAnsi="Times New Roman" w:cs="Times New Roman"/>
                <w:szCs w:val="21"/>
              </w:rPr>
              <w:t>量程漂移</w:t>
            </w:r>
          </w:p>
        </w:tc>
        <w:tc>
          <w:tcPr>
            <w:tcW w:w="2228" w:type="pct"/>
            <w:gridSpan w:val="6"/>
            <w:vAlign w:val="center"/>
          </w:tcPr>
          <w:p>
            <w:pPr>
              <w:jc w:val="center"/>
              <w:rPr>
                <w:rFonts w:ascii="Times New Roman" w:hAnsi="Times New Roman" w:cstheme="minorHAnsi"/>
                <w:szCs w:val="21"/>
              </w:rPr>
            </w:pPr>
            <w:r>
              <w:rPr>
                <w:rFonts w:ascii="Times New Roman" w:hAnsi="Times New Roman" w:cstheme="minorHAnsi"/>
                <w:szCs w:val="21"/>
              </w:rPr>
              <w:t>±10%</w:t>
            </w:r>
          </w:p>
        </w:tc>
        <w:tc>
          <w:tcPr>
            <w:tcW w:w="937" w:type="pct"/>
            <w:gridSpan w:val="2"/>
            <w:vAlign w:val="center"/>
          </w:tcPr>
          <w:p>
            <w:pPr>
              <w:jc w:val="center"/>
              <w:rPr>
                <w:rFonts w:ascii="Times New Roman" w:hAnsi="Times New Roman" w:cstheme="minorHAnsi"/>
                <w:szCs w:val="21"/>
              </w:rPr>
            </w:pPr>
            <w:r>
              <w:rPr>
                <w:rFonts w:hint="eastAsia" w:ascii="Times New Roman" w:hAnsi="Times New Roman" w:cstheme="minorHAnsi"/>
                <w:szCs w:val="21"/>
              </w:rPr>
              <w:t>/</w:t>
            </w:r>
          </w:p>
        </w:tc>
        <w:tc>
          <w:tcPr>
            <w:tcW w:w="941" w:type="pct"/>
            <w:vAlign w:val="center"/>
          </w:tcPr>
          <w:p>
            <w:pPr>
              <w:jc w:val="center"/>
              <w:rPr>
                <w:rFonts w:ascii="Times New Roman" w:hAnsi="Times New Roman" w:cs="Times New Roman"/>
              </w:rPr>
            </w:pPr>
            <w:r>
              <w:rPr>
                <w:rFonts w:hint="eastAsia" w:ascii="Times New Roman" w:hAnsi="Times New Roman" w:cstheme="minorHAns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ascii="Times New Roman" w:hAnsi="Times New Roman" w:cs="Times New Roman"/>
                <w:szCs w:val="21"/>
              </w:rPr>
              <w:t>室外比对测量相关系数r</w:t>
            </w:r>
          </w:p>
        </w:tc>
        <w:tc>
          <w:tcPr>
            <w:tcW w:w="1310" w:type="pct"/>
            <w:gridSpan w:val="4"/>
            <w:vAlign w:val="center"/>
          </w:tcPr>
          <w:p>
            <w:pPr>
              <w:jc w:val="center"/>
              <w:rPr>
                <w:rFonts w:ascii="Times New Roman" w:hAnsi="Times New Roman" w:cstheme="minorHAnsi"/>
                <w:szCs w:val="21"/>
              </w:rPr>
            </w:pPr>
            <w:r>
              <w:rPr>
                <w:rFonts w:ascii="Times New Roman" w:hAnsi="Times New Roman" w:cstheme="minorHAnsi"/>
                <w:szCs w:val="21"/>
              </w:rPr>
              <w:t>≥ 0.8</w:t>
            </w:r>
          </w:p>
        </w:tc>
        <w:tc>
          <w:tcPr>
            <w:tcW w:w="918" w:type="pct"/>
            <w:gridSpan w:val="2"/>
            <w:vAlign w:val="center"/>
          </w:tcPr>
          <w:p>
            <w:pPr>
              <w:jc w:val="center"/>
              <w:rPr>
                <w:rFonts w:ascii="Times New Roman" w:hAnsi="Times New Roman" w:cstheme="minorHAnsi"/>
                <w:szCs w:val="21"/>
              </w:rPr>
            </w:pPr>
            <w:r>
              <w:rPr>
                <w:rFonts w:ascii="Times New Roman" w:hAnsi="Times New Roman" w:cstheme="minorHAnsi"/>
                <w:szCs w:val="21"/>
              </w:rPr>
              <w:t>≥ 0.9</w:t>
            </w:r>
          </w:p>
        </w:tc>
        <w:tc>
          <w:tcPr>
            <w:tcW w:w="937" w:type="pct"/>
            <w:gridSpan w:val="2"/>
            <w:vAlign w:val="center"/>
          </w:tcPr>
          <w:p>
            <w:pPr>
              <w:jc w:val="center"/>
              <w:rPr>
                <w:rFonts w:ascii="Times New Roman" w:hAnsi="Times New Roman" w:cs="Times New Roman"/>
              </w:rPr>
            </w:pPr>
            <w:r>
              <w:rPr>
                <w:rFonts w:hint="eastAsia" w:ascii="Times New Roman" w:hAnsi="Times New Roman" w:cstheme="minorHAnsi"/>
                <w:szCs w:val="21"/>
              </w:rPr>
              <w:t>/</w:t>
            </w:r>
          </w:p>
        </w:tc>
        <w:tc>
          <w:tcPr>
            <w:tcW w:w="941" w:type="pct"/>
            <w:vAlign w:val="center"/>
          </w:tcPr>
          <w:p>
            <w:pPr>
              <w:jc w:val="center"/>
              <w:rPr>
                <w:rFonts w:ascii="Times New Roman" w:hAnsi="Times New Roman" w:cs="Times New Roman"/>
              </w:rPr>
            </w:pPr>
            <w:r>
              <w:rPr>
                <w:rFonts w:hint="eastAsia" w:ascii="Times New Roman" w:hAnsi="Times New Roman" w:cstheme="minorHAns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ascii="Times New Roman" w:hAnsi="Times New Roman" w:cs="Times New Roman"/>
                <w:szCs w:val="21"/>
              </w:rPr>
              <w:t>环境温度</w:t>
            </w:r>
          </w:p>
        </w:tc>
        <w:tc>
          <w:tcPr>
            <w:tcW w:w="2228" w:type="pct"/>
            <w:gridSpan w:val="6"/>
            <w:vAlign w:val="center"/>
          </w:tcPr>
          <w:p>
            <w:pPr>
              <w:jc w:val="center"/>
              <w:rPr>
                <w:rFonts w:ascii="Times New Roman" w:hAnsi="Times New Roman" w:cstheme="minorHAnsi"/>
                <w:szCs w:val="21"/>
              </w:rPr>
            </w:pPr>
            <w:r>
              <w:rPr>
                <w:rFonts w:ascii="Times New Roman" w:hAnsi="Times New Roman" w:cstheme="minorHAnsi"/>
                <w:szCs w:val="21"/>
              </w:rPr>
              <w:t>-20-55</w:t>
            </w:r>
            <w:r>
              <w:rPr>
                <w:rFonts w:hint="eastAsia"/>
                <w:szCs w:val="21"/>
              </w:rPr>
              <w:t>℃</w:t>
            </w:r>
          </w:p>
        </w:tc>
        <w:tc>
          <w:tcPr>
            <w:tcW w:w="937" w:type="pct"/>
            <w:gridSpan w:val="2"/>
            <w:vAlign w:val="center"/>
          </w:tcPr>
          <w:p>
            <w:pPr>
              <w:jc w:val="center"/>
              <w:rPr>
                <w:rFonts w:ascii="Times New Roman" w:hAnsi="Times New Roman" w:cs="Times New Roman"/>
              </w:rPr>
            </w:pPr>
            <w:r>
              <w:rPr>
                <w:rFonts w:hint="eastAsia" w:ascii="Times New Roman" w:hAnsi="Times New Roman" w:cstheme="minorHAnsi"/>
                <w:szCs w:val="21"/>
              </w:rPr>
              <w:t>/</w:t>
            </w:r>
          </w:p>
        </w:tc>
        <w:tc>
          <w:tcPr>
            <w:tcW w:w="941" w:type="pct"/>
            <w:vAlign w:val="center"/>
          </w:tcPr>
          <w:p>
            <w:pPr>
              <w:jc w:val="center"/>
              <w:rPr>
                <w:rFonts w:ascii="Times New Roman" w:hAnsi="Times New Roman" w:cs="Times New Roman"/>
              </w:rPr>
            </w:pPr>
            <w:r>
              <w:rPr>
                <w:rFonts w:hint="eastAsia" w:ascii="Times New Roman" w:hAnsi="Times New Roman" w:cstheme="minorHAns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vAlign w:val="center"/>
          </w:tcPr>
          <w:p>
            <w:pPr>
              <w:jc w:val="center"/>
              <w:rPr>
                <w:rFonts w:ascii="Times New Roman" w:hAnsi="Times New Roman" w:cs="Times New Roman"/>
                <w:szCs w:val="21"/>
              </w:rPr>
            </w:pPr>
            <w:r>
              <w:rPr>
                <w:rFonts w:ascii="Times New Roman" w:hAnsi="Times New Roman" w:cs="Times New Roman"/>
                <w:szCs w:val="21"/>
              </w:rPr>
              <w:t>环境湿度</w:t>
            </w:r>
          </w:p>
        </w:tc>
        <w:tc>
          <w:tcPr>
            <w:tcW w:w="2228" w:type="pct"/>
            <w:gridSpan w:val="6"/>
            <w:vAlign w:val="center"/>
          </w:tcPr>
          <w:p>
            <w:pPr>
              <w:jc w:val="center"/>
              <w:rPr>
                <w:rFonts w:ascii="Times New Roman" w:hAnsi="Times New Roman" w:cstheme="minorHAnsi"/>
                <w:szCs w:val="21"/>
              </w:rPr>
            </w:pPr>
            <w:r>
              <w:rPr>
                <w:rFonts w:ascii="Times New Roman" w:hAnsi="Times New Roman" w:cstheme="minorHAnsi"/>
                <w:szCs w:val="21"/>
              </w:rPr>
              <w:t>RH(15%-95%)</w:t>
            </w:r>
          </w:p>
        </w:tc>
        <w:tc>
          <w:tcPr>
            <w:tcW w:w="937" w:type="pct"/>
            <w:gridSpan w:val="2"/>
            <w:vAlign w:val="center"/>
          </w:tcPr>
          <w:p>
            <w:pPr>
              <w:jc w:val="center"/>
              <w:rPr>
                <w:rFonts w:ascii="Times New Roman" w:hAnsi="Times New Roman" w:cs="Times New Roman"/>
              </w:rPr>
            </w:pPr>
            <w:r>
              <w:rPr>
                <w:rFonts w:hint="eastAsia" w:ascii="Times New Roman" w:hAnsi="Times New Roman" w:cstheme="minorHAnsi"/>
                <w:szCs w:val="21"/>
              </w:rPr>
              <w:t>/</w:t>
            </w:r>
          </w:p>
        </w:tc>
        <w:tc>
          <w:tcPr>
            <w:tcW w:w="941" w:type="pct"/>
            <w:vAlign w:val="center"/>
          </w:tcPr>
          <w:p>
            <w:pPr>
              <w:jc w:val="center"/>
              <w:rPr>
                <w:rFonts w:ascii="Times New Roman" w:hAnsi="Times New Roman" w:cs="Times New Roman"/>
              </w:rPr>
            </w:pPr>
            <w:r>
              <w:rPr>
                <w:rFonts w:hint="eastAsia" w:ascii="Times New Roman" w:hAnsi="Times New Roman" w:cstheme="minorHAnsi"/>
                <w:szCs w:val="21"/>
              </w:rPr>
              <w:t>/</w:t>
            </w:r>
          </w:p>
        </w:tc>
      </w:tr>
    </w:tbl>
    <w:p>
      <w:pPr>
        <w:autoSpaceDE/>
        <w:autoSpaceDN/>
        <w:spacing w:line="360" w:lineRule="auto"/>
        <w:ind w:firstLine="480" w:firstLineChars="200"/>
        <w:rPr>
          <w:sz w:val="24"/>
          <w:szCs w:val="21"/>
        </w:rPr>
      </w:pPr>
      <w:r>
        <w:rPr>
          <w:rFonts w:hint="eastAsia"/>
          <w:sz w:val="24"/>
          <w:szCs w:val="21"/>
        </w:rPr>
        <w:t>3.1.5高空瞭望系统</w:t>
      </w:r>
    </w:p>
    <w:p>
      <w:pPr>
        <w:autoSpaceDE/>
        <w:autoSpaceDN/>
        <w:spacing w:line="360" w:lineRule="auto"/>
        <w:ind w:firstLine="480" w:firstLineChars="200"/>
        <w:rPr>
          <w:sz w:val="24"/>
          <w:szCs w:val="21"/>
        </w:rPr>
      </w:pPr>
      <w:r>
        <w:rPr>
          <w:rFonts w:hint="eastAsia"/>
          <w:sz w:val="24"/>
          <w:szCs w:val="21"/>
        </w:rPr>
        <w:t>1.包含热成像双光谱云台摄像机、高空瞭望系统、3年运维。</w:t>
      </w:r>
    </w:p>
    <w:p>
      <w:pPr>
        <w:autoSpaceDE/>
        <w:autoSpaceDN/>
        <w:spacing w:line="360" w:lineRule="auto"/>
        <w:ind w:firstLine="480" w:firstLineChars="200"/>
        <w:rPr>
          <w:sz w:val="24"/>
          <w:szCs w:val="21"/>
        </w:rPr>
      </w:pPr>
      <w:r>
        <w:rPr>
          <w:rFonts w:hint="eastAsia"/>
          <w:sz w:val="24"/>
          <w:szCs w:val="21"/>
        </w:rPr>
        <w:t>2.500米激光辅助，人脸抓拍、区域入侵侦测、越界侦测、进入区域侦测、离开区域侦测、徘徊侦测、人员聚集侦测、快速移动侦测、停车侦测、物品遗留侦测、物品拿取侦测、音频异常侦测、移动侦测、视频遮挡侦测。</w:t>
      </w:r>
    </w:p>
    <w:p>
      <w:pPr>
        <w:autoSpaceDE/>
        <w:autoSpaceDN/>
        <w:spacing w:line="360" w:lineRule="auto"/>
        <w:ind w:firstLine="480" w:firstLineChars="200"/>
        <w:rPr>
          <w:sz w:val="24"/>
          <w:szCs w:val="21"/>
        </w:rPr>
      </w:pPr>
      <w:r>
        <w:rPr>
          <w:rFonts w:hint="eastAsia"/>
          <w:sz w:val="24"/>
          <w:szCs w:val="21"/>
        </w:rPr>
        <w:t>3.混合目标检测：支持人脸+人体同时抓拍，人脸、人体关联输出。</w:t>
      </w:r>
    </w:p>
    <w:p>
      <w:pPr>
        <w:autoSpaceDE/>
        <w:autoSpaceDN/>
        <w:spacing w:line="360" w:lineRule="auto"/>
        <w:ind w:firstLine="480" w:firstLineChars="200"/>
        <w:rPr>
          <w:sz w:val="24"/>
          <w:szCs w:val="21"/>
        </w:rPr>
      </w:pPr>
      <w:r>
        <w:rPr>
          <w:rFonts w:hint="eastAsia"/>
          <w:sz w:val="24"/>
          <w:szCs w:val="21"/>
        </w:rPr>
        <w:t>4.前端建模比对：前端存储≥15万张人脸图片进行建模后，对场景中抓拍的人脸进行比对并输出结果。</w:t>
      </w:r>
    </w:p>
    <w:p>
      <w:pPr>
        <w:autoSpaceDE/>
        <w:autoSpaceDN/>
        <w:spacing w:line="360" w:lineRule="auto"/>
        <w:ind w:firstLine="480" w:firstLineChars="200"/>
        <w:rPr>
          <w:sz w:val="24"/>
          <w:szCs w:val="21"/>
        </w:rPr>
      </w:pPr>
      <w:r>
        <w:rPr>
          <w:rFonts w:hint="eastAsia"/>
          <w:sz w:val="24"/>
          <w:szCs w:val="21"/>
        </w:rPr>
        <w:t>5.智能检索/浓缩播放/车牌检索/人脸检索/热度图/客流量统计/视频摘要回放/分时段回放/超高倍速回放/双系统备份。</w:t>
      </w:r>
    </w:p>
    <w:p>
      <w:pPr>
        <w:autoSpaceDE/>
        <w:autoSpaceDN/>
        <w:spacing w:line="360" w:lineRule="auto"/>
        <w:ind w:firstLine="480" w:firstLineChars="200"/>
        <w:rPr>
          <w:sz w:val="24"/>
          <w:szCs w:val="21"/>
        </w:rPr>
      </w:pPr>
      <w:r>
        <w:rPr>
          <w:rFonts w:hint="eastAsia"/>
          <w:sz w:val="24"/>
          <w:szCs w:val="21"/>
        </w:rPr>
        <w:t>3.1.6热成像双光谱云台摄像机</w:t>
      </w:r>
    </w:p>
    <w:p>
      <w:pPr>
        <w:autoSpaceDE/>
        <w:autoSpaceDN/>
        <w:spacing w:line="360" w:lineRule="auto"/>
        <w:ind w:firstLine="480" w:firstLineChars="200"/>
        <w:rPr>
          <w:sz w:val="32"/>
        </w:rPr>
      </w:pPr>
      <w:r>
        <w:rPr>
          <w:rFonts w:hint="eastAsia"/>
          <w:sz w:val="24"/>
          <w:szCs w:val="21"/>
        </w:rPr>
        <w:t>主要技术指标：</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3"/>
        <w:gridCol w:w="6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功能</w:t>
            </w:r>
          </w:p>
        </w:tc>
        <w:tc>
          <w:tcPr>
            <w:tcW w:w="3480" w:type="pct"/>
            <w:vAlign w:val="center"/>
          </w:tcPr>
          <w:p>
            <w:pPr>
              <w:jc w:val="center"/>
              <w:rPr>
                <w:sz w:val="21"/>
                <w:szCs w:val="21"/>
              </w:rPr>
            </w:pPr>
            <w:r>
              <w:rPr>
                <w:rFonts w:hint="eastAsia"/>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图像传感器</w:t>
            </w:r>
          </w:p>
        </w:tc>
        <w:tc>
          <w:tcPr>
            <w:tcW w:w="3480" w:type="pct"/>
            <w:vAlign w:val="center"/>
          </w:tcPr>
          <w:p>
            <w:pPr>
              <w:jc w:val="both"/>
              <w:rPr>
                <w:sz w:val="21"/>
                <w:szCs w:val="21"/>
              </w:rPr>
            </w:pPr>
            <w:r>
              <w:rPr>
                <w:rFonts w:hint="eastAsia"/>
                <w:sz w:val="21"/>
                <w:szCs w:val="21"/>
              </w:rPr>
              <w:t>≥1/1.8" Progressive Scan 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最低照度</w:t>
            </w:r>
          </w:p>
        </w:tc>
        <w:tc>
          <w:tcPr>
            <w:tcW w:w="3480" w:type="pct"/>
            <w:vAlign w:val="center"/>
          </w:tcPr>
          <w:p>
            <w:pPr>
              <w:jc w:val="both"/>
              <w:rPr>
                <w:sz w:val="21"/>
                <w:szCs w:val="21"/>
                <w:lang w:val="en-US"/>
              </w:rPr>
            </w:pPr>
            <w:r>
              <w:rPr>
                <w:rFonts w:hint="eastAsia"/>
                <w:sz w:val="21"/>
                <w:szCs w:val="21"/>
              </w:rPr>
              <w:t>彩色</w:t>
            </w:r>
            <w:r>
              <w:rPr>
                <w:rFonts w:hint="eastAsia"/>
                <w:sz w:val="21"/>
                <w:szCs w:val="21"/>
                <w:lang w:val="en-US"/>
              </w:rPr>
              <w:t xml:space="preserve">：≤0.0005Lux@（F1.2,AGC ON） </w:t>
            </w:r>
            <w:r>
              <w:rPr>
                <w:rFonts w:hint="eastAsia"/>
                <w:sz w:val="21"/>
                <w:szCs w:val="21"/>
              </w:rPr>
              <w:t>黑白</w:t>
            </w:r>
            <w:r>
              <w:rPr>
                <w:rFonts w:hint="eastAsia"/>
                <w:sz w:val="21"/>
                <w:szCs w:val="21"/>
                <w:lang w:val="en-US"/>
              </w:rPr>
              <w:t>：≤0.0002Lux@（F1.2,AGC ON）；0 Lux with 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分辨率及帧率</w:t>
            </w:r>
          </w:p>
        </w:tc>
        <w:tc>
          <w:tcPr>
            <w:tcW w:w="3480" w:type="pct"/>
            <w:vAlign w:val="center"/>
          </w:tcPr>
          <w:p>
            <w:pPr>
              <w:jc w:val="both"/>
              <w:rPr>
                <w:sz w:val="21"/>
                <w:szCs w:val="21"/>
              </w:rPr>
            </w:pPr>
            <w:r>
              <w:rPr>
                <w:rFonts w:hint="eastAsia"/>
                <w:sz w:val="21"/>
                <w:szCs w:val="21"/>
              </w:rPr>
              <w:t>主码流：50Hz:≥ 25fps(2560×1440)； 60Hz: ≥30fps(2560×1440)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视频压缩</w:t>
            </w:r>
          </w:p>
        </w:tc>
        <w:tc>
          <w:tcPr>
            <w:tcW w:w="3480" w:type="pct"/>
            <w:vAlign w:val="center"/>
          </w:tcPr>
          <w:p>
            <w:pPr>
              <w:jc w:val="both"/>
              <w:rPr>
                <w:sz w:val="21"/>
                <w:szCs w:val="21"/>
                <w:lang w:val="en-US"/>
              </w:rPr>
            </w:pPr>
            <w:r>
              <w:rPr>
                <w:rFonts w:hint="eastAsia"/>
                <w:sz w:val="21"/>
                <w:szCs w:val="21"/>
                <w:lang w:val="en-US"/>
              </w:rPr>
              <w:t>H.265（Main Profile）/H.264（Baseline</w:t>
            </w:r>
            <w:r>
              <w:rPr>
                <w:rFonts w:hint="eastAsia"/>
                <w:sz w:val="21"/>
                <w:szCs w:val="21"/>
              </w:rPr>
              <w:t>、</w:t>
            </w:r>
            <w:r>
              <w:rPr>
                <w:rFonts w:hint="eastAsia"/>
                <w:sz w:val="21"/>
                <w:szCs w:val="21"/>
                <w:lang w:val="en-US"/>
              </w:rPr>
              <w:t>Main</w:t>
            </w:r>
            <w:r>
              <w:rPr>
                <w:rFonts w:hint="eastAsia"/>
                <w:sz w:val="21"/>
                <w:szCs w:val="21"/>
              </w:rPr>
              <w:t>、</w:t>
            </w:r>
            <w:r>
              <w:rPr>
                <w:rFonts w:hint="eastAsia"/>
                <w:sz w:val="21"/>
                <w:szCs w:val="21"/>
                <w:lang w:val="en-US"/>
              </w:rPr>
              <w:t>High Profile）/MJPEG/Smart 264/Smart 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焦距</w:t>
            </w:r>
          </w:p>
        </w:tc>
        <w:tc>
          <w:tcPr>
            <w:tcW w:w="3480" w:type="pct"/>
            <w:vAlign w:val="center"/>
          </w:tcPr>
          <w:p>
            <w:pPr>
              <w:jc w:val="both"/>
              <w:rPr>
                <w:sz w:val="21"/>
                <w:szCs w:val="21"/>
              </w:rPr>
            </w:pPr>
            <w:r>
              <w:rPr>
                <w:rFonts w:hint="eastAsia"/>
                <w:sz w:val="21"/>
                <w:szCs w:val="21"/>
              </w:rPr>
              <w:t>≥ 6.0-240mm，≥40倍光学变倍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519" w:type="pct"/>
            <w:vAlign w:val="center"/>
          </w:tcPr>
          <w:p>
            <w:pPr>
              <w:jc w:val="center"/>
              <w:rPr>
                <w:sz w:val="21"/>
                <w:szCs w:val="21"/>
              </w:rPr>
            </w:pPr>
            <w:r>
              <w:rPr>
                <w:rFonts w:hint="eastAsia"/>
                <w:sz w:val="21"/>
                <w:szCs w:val="21"/>
              </w:rPr>
              <w:t>Smart图像增强</w:t>
            </w:r>
          </w:p>
        </w:tc>
        <w:tc>
          <w:tcPr>
            <w:tcW w:w="3480" w:type="pct"/>
            <w:vAlign w:val="center"/>
          </w:tcPr>
          <w:p>
            <w:pPr>
              <w:jc w:val="both"/>
              <w:rPr>
                <w:sz w:val="21"/>
                <w:szCs w:val="21"/>
              </w:rPr>
            </w:pPr>
            <w:r>
              <w:rPr>
                <w:rFonts w:hint="eastAsia"/>
                <w:sz w:val="21"/>
                <w:szCs w:val="21"/>
              </w:rPr>
              <w:t>透雾、电子防抖、背光补偿、强光抑制、120dB超宽动态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水平及垂直范围</w:t>
            </w:r>
          </w:p>
        </w:tc>
        <w:tc>
          <w:tcPr>
            <w:tcW w:w="3480" w:type="pct"/>
            <w:vAlign w:val="center"/>
          </w:tcPr>
          <w:p>
            <w:pPr>
              <w:jc w:val="both"/>
              <w:rPr>
                <w:sz w:val="21"/>
                <w:szCs w:val="21"/>
              </w:rPr>
            </w:pPr>
            <w:r>
              <w:rPr>
                <w:rFonts w:hint="eastAsia"/>
                <w:sz w:val="21"/>
                <w:szCs w:val="21"/>
              </w:rPr>
              <w:t>水平≥0°~360°连续旋转 垂直≥+40°～ -90°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水平速度</w:t>
            </w:r>
          </w:p>
        </w:tc>
        <w:tc>
          <w:tcPr>
            <w:tcW w:w="3480" w:type="pct"/>
            <w:vAlign w:val="center"/>
          </w:tcPr>
          <w:p>
            <w:pPr>
              <w:jc w:val="both"/>
              <w:rPr>
                <w:sz w:val="21"/>
                <w:szCs w:val="21"/>
              </w:rPr>
            </w:pPr>
            <w:r>
              <w:rPr>
                <w:rFonts w:hint="eastAsia"/>
                <w:sz w:val="21"/>
                <w:szCs w:val="21"/>
              </w:rPr>
              <w:t>水平≥0.1°~100°/s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垂直速度</w:t>
            </w:r>
          </w:p>
        </w:tc>
        <w:tc>
          <w:tcPr>
            <w:tcW w:w="3480" w:type="pct"/>
            <w:vAlign w:val="center"/>
          </w:tcPr>
          <w:p>
            <w:pPr>
              <w:jc w:val="both"/>
              <w:rPr>
                <w:sz w:val="21"/>
                <w:szCs w:val="21"/>
              </w:rPr>
            </w:pPr>
            <w:r>
              <w:rPr>
                <w:rFonts w:hint="eastAsia"/>
                <w:sz w:val="21"/>
                <w:szCs w:val="21"/>
              </w:rPr>
              <w:t>垂直≥0.1°~50°/s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电源接口</w:t>
            </w:r>
          </w:p>
        </w:tc>
        <w:tc>
          <w:tcPr>
            <w:tcW w:w="3480" w:type="pct"/>
            <w:vAlign w:val="center"/>
          </w:tcPr>
          <w:p>
            <w:pPr>
              <w:jc w:val="both"/>
              <w:rPr>
                <w:sz w:val="21"/>
                <w:szCs w:val="21"/>
              </w:rPr>
            </w:pPr>
            <w:r>
              <w:rPr>
                <w:rFonts w:hint="eastAsia"/>
                <w:sz w:val="21"/>
                <w:szCs w:val="21"/>
              </w:rPr>
              <w:t>AC24V±25%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网络接口</w:t>
            </w:r>
          </w:p>
        </w:tc>
        <w:tc>
          <w:tcPr>
            <w:tcW w:w="3480" w:type="pct"/>
            <w:vAlign w:val="center"/>
          </w:tcPr>
          <w:p>
            <w:pPr>
              <w:jc w:val="both"/>
              <w:rPr>
                <w:sz w:val="21"/>
                <w:szCs w:val="21"/>
              </w:rPr>
            </w:pPr>
            <w:r>
              <w:rPr>
                <w:rFonts w:hint="eastAsia"/>
                <w:sz w:val="21"/>
                <w:szCs w:val="21"/>
              </w:rPr>
              <w:t>RJ45网口，自适应10M/100M网络数据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音频输入/输出</w:t>
            </w:r>
          </w:p>
        </w:tc>
        <w:tc>
          <w:tcPr>
            <w:tcW w:w="3480" w:type="pct"/>
            <w:vAlign w:val="center"/>
          </w:tcPr>
          <w:p>
            <w:pPr>
              <w:jc w:val="both"/>
              <w:rPr>
                <w:sz w:val="21"/>
                <w:szCs w:val="21"/>
              </w:rPr>
            </w:pPr>
            <w:r>
              <w:rPr>
                <w:rFonts w:hint="eastAsia"/>
                <w:sz w:val="21"/>
                <w:szCs w:val="21"/>
              </w:rPr>
              <w:t>≥ 1路音频输入；≥1路音频输出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报警输入/输出</w:t>
            </w:r>
          </w:p>
        </w:tc>
        <w:tc>
          <w:tcPr>
            <w:tcW w:w="3480" w:type="pct"/>
            <w:vAlign w:val="center"/>
          </w:tcPr>
          <w:p>
            <w:pPr>
              <w:jc w:val="both"/>
              <w:rPr>
                <w:sz w:val="21"/>
                <w:szCs w:val="21"/>
              </w:rPr>
            </w:pPr>
            <w:r>
              <w:rPr>
                <w:rFonts w:hint="eastAsia"/>
                <w:sz w:val="21"/>
                <w:szCs w:val="21"/>
              </w:rPr>
              <w:t>≥7路报警输入；≥2路报警输出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CVBS输出接口</w:t>
            </w:r>
          </w:p>
        </w:tc>
        <w:tc>
          <w:tcPr>
            <w:tcW w:w="3480" w:type="pct"/>
            <w:vAlign w:val="center"/>
          </w:tcPr>
          <w:p>
            <w:pPr>
              <w:jc w:val="both"/>
              <w:rPr>
                <w:sz w:val="21"/>
                <w:szCs w:val="21"/>
              </w:rPr>
            </w:pPr>
            <w:r>
              <w:rPr>
                <w:rFonts w:hint="eastAsia"/>
                <w:sz w:val="21"/>
                <w:szCs w:val="21"/>
              </w:rPr>
              <w:t>BNC头，具有RS485控制接口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SD卡接口</w:t>
            </w:r>
          </w:p>
        </w:tc>
        <w:tc>
          <w:tcPr>
            <w:tcW w:w="3480" w:type="pct"/>
            <w:vAlign w:val="center"/>
          </w:tcPr>
          <w:p>
            <w:pPr>
              <w:jc w:val="both"/>
              <w:rPr>
                <w:sz w:val="21"/>
                <w:szCs w:val="21"/>
              </w:rPr>
            </w:pPr>
            <w:r>
              <w:rPr>
                <w:rFonts w:hint="eastAsia"/>
                <w:sz w:val="21"/>
                <w:szCs w:val="21"/>
              </w:rPr>
              <w:t>内置Micro SD卡插槽，支持Micro SD(即TF卡)/Micro SDHC/Micro SDXC卡（最大支持≥256G），可支持手动录像/报警录像，支持断网续传,录像不丢失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功耗</w:t>
            </w:r>
          </w:p>
        </w:tc>
        <w:tc>
          <w:tcPr>
            <w:tcW w:w="3480" w:type="pct"/>
            <w:vAlign w:val="center"/>
          </w:tcPr>
          <w:p>
            <w:pPr>
              <w:jc w:val="both"/>
              <w:rPr>
                <w:sz w:val="21"/>
                <w:szCs w:val="21"/>
              </w:rPr>
            </w:pPr>
            <w:r>
              <w:rPr>
                <w:rFonts w:hint="eastAsia"/>
                <w:sz w:val="21"/>
                <w:szCs w:val="21"/>
              </w:rPr>
              <w:t>AC24V,140W 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工作温度和湿度</w:t>
            </w:r>
          </w:p>
        </w:tc>
        <w:tc>
          <w:tcPr>
            <w:tcW w:w="3480" w:type="pct"/>
            <w:vAlign w:val="center"/>
          </w:tcPr>
          <w:p>
            <w:pPr>
              <w:jc w:val="both"/>
              <w:rPr>
                <w:sz w:val="21"/>
                <w:szCs w:val="21"/>
              </w:rPr>
            </w:pPr>
            <w:r>
              <w:rPr>
                <w:rFonts w:hint="eastAsia"/>
                <w:sz w:val="21"/>
                <w:szCs w:val="21"/>
              </w:rPr>
              <w:t>-40℃-70℃；湿度小于95%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防护等级</w:t>
            </w:r>
          </w:p>
        </w:tc>
        <w:tc>
          <w:tcPr>
            <w:tcW w:w="3480" w:type="pct"/>
            <w:vAlign w:val="center"/>
          </w:tcPr>
          <w:p>
            <w:pPr>
              <w:jc w:val="both"/>
              <w:rPr>
                <w:sz w:val="21"/>
                <w:szCs w:val="21"/>
              </w:rPr>
            </w:pPr>
            <w:r>
              <w:rPr>
                <w:rFonts w:hint="eastAsia"/>
                <w:sz w:val="21"/>
                <w:szCs w:val="21"/>
              </w:rPr>
              <w:t>≥ IP66、防雷、防浪涌、防突波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519" w:type="pct"/>
            <w:vAlign w:val="center"/>
          </w:tcPr>
          <w:p>
            <w:pPr>
              <w:jc w:val="center"/>
              <w:rPr>
                <w:sz w:val="21"/>
                <w:szCs w:val="21"/>
              </w:rPr>
            </w:pPr>
            <w:r>
              <w:rPr>
                <w:rFonts w:hint="eastAsia"/>
                <w:sz w:val="21"/>
                <w:szCs w:val="21"/>
              </w:rPr>
              <w:t>补光距离</w:t>
            </w:r>
          </w:p>
        </w:tc>
        <w:tc>
          <w:tcPr>
            <w:tcW w:w="3480" w:type="pct"/>
            <w:vAlign w:val="center"/>
          </w:tcPr>
          <w:p>
            <w:pPr>
              <w:jc w:val="both"/>
              <w:rPr>
                <w:sz w:val="21"/>
                <w:szCs w:val="21"/>
              </w:rPr>
            </w:pPr>
            <w:r>
              <w:rPr>
                <w:rFonts w:hint="eastAsia"/>
                <w:sz w:val="21"/>
                <w:szCs w:val="21"/>
              </w:rPr>
              <w:t>≥ 500米</w:t>
            </w:r>
          </w:p>
        </w:tc>
      </w:tr>
    </w:tbl>
    <w:p>
      <w:pPr>
        <w:autoSpaceDE/>
        <w:autoSpaceDN/>
        <w:spacing w:line="360" w:lineRule="auto"/>
        <w:ind w:firstLine="480" w:firstLineChars="200"/>
        <w:rPr>
          <w:sz w:val="24"/>
          <w:szCs w:val="21"/>
        </w:rPr>
      </w:pPr>
      <w:r>
        <w:rPr>
          <w:rFonts w:hint="eastAsia"/>
          <w:sz w:val="24"/>
          <w:szCs w:val="21"/>
        </w:rPr>
        <w:t xml:space="preserve">3.2 </w:t>
      </w:r>
      <w:r>
        <w:rPr>
          <w:rFonts w:hint="eastAsia"/>
          <w:sz w:val="24"/>
        </w:rPr>
        <w:t>大气环境分析管理平台</w:t>
      </w:r>
    </w:p>
    <w:p>
      <w:pPr>
        <w:autoSpaceDE/>
        <w:autoSpaceDN/>
        <w:spacing w:line="360" w:lineRule="auto"/>
        <w:ind w:firstLine="480" w:firstLineChars="200"/>
        <w:rPr>
          <w:sz w:val="24"/>
          <w:szCs w:val="21"/>
        </w:rPr>
      </w:pPr>
      <w:r>
        <w:rPr>
          <w:rFonts w:hint="eastAsia"/>
          <w:sz w:val="24"/>
          <w:szCs w:val="21"/>
        </w:rPr>
        <w:t>3.2.1数据资源融合</w:t>
      </w:r>
    </w:p>
    <w:p>
      <w:pPr>
        <w:autoSpaceDE/>
        <w:autoSpaceDN/>
        <w:spacing w:line="360" w:lineRule="auto"/>
        <w:ind w:firstLine="480" w:firstLineChars="200"/>
        <w:rPr>
          <w:sz w:val="24"/>
          <w:szCs w:val="21"/>
        </w:rPr>
      </w:pPr>
      <w:r>
        <w:rPr>
          <w:rFonts w:hint="eastAsia"/>
          <w:sz w:val="24"/>
          <w:szCs w:val="21"/>
        </w:rPr>
        <w:t>包含大气环境数据资源标准体系建设、大气环境数据资源汇聚、大气环境数据资源清洗、大气环境数据融合治理、大气环境数据资源共享等功能。</w:t>
      </w:r>
    </w:p>
    <w:p>
      <w:pPr>
        <w:autoSpaceDE/>
        <w:autoSpaceDN/>
        <w:spacing w:line="360" w:lineRule="auto"/>
        <w:ind w:firstLine="480" w:firstLineChars="200"/>
        <w:rPr>
          <w:sz w:val="24"/>
          <w:szCs w:val="21"/>
        </w:rPr>
      </w:pPr>
      <w:r>
        <w:rPr>
          <w:rFonts w:hint="eastAsia"/>
          <w:sz w:val="24"/>
          <w:szCs w:val="21"/>
        </w:rPr>
        <w:t>3.2.2在线指挥一张图</w:t>
      </w:r>
    </w:p>
    <w:p>
      <w:pPr>
        <w:autoSpaceDE/>
        <w:autoSpaceDN/>
        <w:spacing w:line="360" w:lineRule="auto"/>
        <w:ind w:firstLine="480" w:firstLineChars="200"/>
        <w:rPr>
          <w:sz w:val="24"/>
          <w:szCs w:val="21"/>
        </w:rPr>
      </w:pPr>
      <w:r>
        <w:rPr>
          <w:rFonts w:hint="eastAsia"/>
          <w:sz w:val="24"/>
          <w:szCs w:val="21"/>
        </w:rPr>
        <w:t>提供多维专题图层，主要包括气象特征专题图、空气质量专题图层、超级站在线专题图、污染源在线专题图等，需在投标文件中提供截图证明；</w:t>
      </w:r>
    </w:p>
    <w:p>
      <w:pPr>
        <w:autoSpaceDE/>
        <w:autoSpaceDN/>
        <w:spacing w:line="360" w:lineRule="auto"/>
        <w:ind w:firstLine="480" w:firstLineChars="200"/>
        <w:rPr>
          <w:sz w:val="24"/>
          <w:szCs w:val="21"/>
        </w:rPr>
      </w:pPr>
      <w:r>
        <w:rPr>
          <w:rFonts w:hint="eastAsia"/>
          <w:sz w:val="24"/>
          <w:szCs w:val="21"/>
        </w:rPr>
        <w:t>平台支持图层自由组合叠加展示，可根据实际业务需求组合不同图层，利用现有移动源系统大屏幕进行查询展示；</w:t>
      </w:r>
    </w:p>
    <w:p>
      <w:pPr>
        <w:autoSpaceDE/>
        <w:autoSpaceDN/>
        <w:spacing w:line="360" w:lineRule="auto"/>
        <w:ind w:firstLine="480" w:firstLineChars="200"/>
        <w:rPr>
          <w:sz w:val="24"/>
          <w:szCs w:val="21"/>
        </w:rPr>
      </w:pPr>
      <w:r>
        <w:rPr>
          <w:rFonts w:hint="eastAsia"/>
          <w:sz w:val="24"/>
          <w:szCs w:val="21"/>
        </w:rPr>
        <w:t>平台底图软件拟采用北斗地图为基础，实现站点概览、海量数据的同步转换、快速浏览、数据查询、对比浏览、应用分析、统计汇总等应用；</w:t>
      </w:r>
    </w:p>
    <w:p>
      <w:pPr>
        <w:autoSpaceDE/>
        <w:autoSpaceDN/>
        <w:spacing w:line="360" w:lineRule="auto"/>
        <w:ind w:firstLine="480" w:firstLineChars="200"/>
        <w:rPr>
          <w:sz w:val="24"/>
          <w:szCs w:val="21"/>
        </w:rPr>
      </w:pPr>
      <w:r>
        <w:rPr>
          <w:rFonts w:hint="eastAsia"/>
          <w:sz w:val="24"/>
          <w:szCs w:val="21"/>
        </w:rPr>
        <w:t>3.2.3目标考核管理</w:t>
      </w:r>
    </w:p>
    <w:p>
      <w:pPr>
        <w:autoSpaceDE/>
        <w:autoSpaceDN/>
        <w:spacing w:line="360" w:lineRule="auto"/>
        <w:ind w:firstLine="480" w:firstLineChars="200"/>
        <w:rPr>
          <w:sz w:val="24"/>
          <w:szCs w:val="21"/>
        </w:rPr>
      </w:pPr>
      <w:r>
        <w:rPr>
          <w:rFonts w:hint="eastAsia"/>
          <w:sz w:val="24"/>
          <w:szCs w:val="21"/>
        </w:rPr>
        <w:t>至少包含考核目标概况、AQI日达标控制、空气质量余量分析、乡镇目标分解等功能。制定区域年度考核目标，并进行月度分解，确定剩余控制量，为下一步工作方向制定减排措施提供靶向指导。</w:t>
      </w:r>
    </w:p>
    <w:p>
      <w:pPr>
        <w:autoSpaceDE/>
        <w:autoSpaceDN/>
        <w:spacing w:line="360" w:lineRule="auto"/>
        <w:ind w:firstLine="480" w:firstLineChars="200"/>
        <w:rPr>
          <w:sz w:val="24"/>
          <w:szCs w:val="21"/>
        </w:rPr>
      </w:pPr>
      <w:r>
        <w:rPr>
          <w:rFonts w:hint="eastAsia"/>
          <w:sz w:val="24"/>
          <w:szCs w:val="21"/>
        </w:rPr>
        <w:t>3.2.4空气质量监测</w:t>
      </w:r>
    </w:p>
    <w:p>
      <w:pPr>
        <w:autoSpaceDE/>
        <w:autoSpaceDN/>
        <w:spacing w:line="360" w:lineRule="auto"/>
        <w:ind w:firstLine="480" w:firstLineChars="200"/>
        <w:rPr>
          <w:sz w:val="24"/>
          <w:szCs w:val="21"/>
        </w:rPr>
      </w:pPr>
      <w:r>
        <w:rPr>
          <w:rFonts w:hint="eastAsia"/>
          <w:sz w:val="24"/>
          <w:szCs w:val="21"/>
        </w:rPr>
        <w:t>至少包含空气质量实时监测、数据综合分析、综合指数预判评估、决策支持等功能。结合电子地图，对辖区内分布的监测终端数据实时展示，对各大气监测站点的AQI、SO2、NO2、PM2.5、PM10、CO、O3等监测情况在GIS平台上进行预报、展示，展示每天每个时点、日均值、月均值、年均值空气监测因子的变化趋势、日均值情况等。</w:t>
      </w:r>
    </w:p>
    <w:p>
      <w:pPr>
        <w:autoSpaceDE/>
        <w:autoSpaceDN/>
        <w:spacing w:line="360" w:lineRule="auto"/>
        <w:ind w:firstLine="480" w:firstLineChars="200"/>
        <w:rPr>
          <w:sz w:val="24"/>
          <w:szCs w:val="21"/>
        </w:rPr>
      </w:pPr>
      <w:r>
        <w:rPr>
          <w:rFonts w:hint="eastAsia"/>
          <w:sz w:val="24"/>
          <w:szCs w:val="21"/>
        </w:rPr>
        <w:t>3.2.5应急预警</w:t>
      </w:r>
    </w:p>
    <w:p>
      <w:pPr>
        <w:autoSpaceDE/>
        <w:autoSpaceDN/>
        <w:spacing w:line="360" w:lineRule="auto"/>
        <w:ind w:firstLine="480" w:firstLineChars="200"/>
        <w:rPr>
          <w:sz w:val="24"/>
          <w:szCs w:val="21"/>
        </w:rPr>
      </w:pPr>
      <w:r>
        <w:rPr>
          <w:rFonts w:hint="eastAsia"/>
          <w:sz w:val="24"/>
          <w:szCs w:val="21"/>
        </w:rPr>
        <w:t>至少包含多源智能预警系统、监测报警子系统等功能，基于多种环境质量监测数据利用模型算法进行多维度的预警预报，提供报警分析、报警历史数据查询。</w:t>
      </w:r>
    </w:p>
    <w:p>
      <w:pPr>
        <w:autoSpaceDE/>
        <w:autoSpaceDN/>
        <w:spacing w:line="360" w:lineRule="auto"/>
        <w:ind w:firstLine="480" w:firstLineChars="200"/>
        <w:rPr>
          <w:sz w:val="24"/>
          <w:szCs w:val="21"/>
        </w:rPr>
      </w:pPr>
      <w:r>
        <w:rPr>
          <w:rFonts w:hint="eastAsia"/>
          <w:sz w:val="24"/>
          <w:szCs w:val="21"/>
        </w:rPr>
        <w:t>3.2.6 网格化指挥调度</w:t>
      </w:r>
    </w:p>
    <w:p>
      <w:pPr>
        <w:autoSpaceDE/>
        <w:autoSpaceDN/>
        <w:spacing w:line="360" w:lineRule="auto"/>
        <w:ind w:firstLine="480" w:firstLineChars="200"/>
        <w:rPr>
          <w:sz w:val="24"/>
          <w:szCs w:val="21"/>
        </w:rPr>
      </w:pPr>
      <w:r>
        <w:rPr>
          <w:rFonts w:hint="eastAsia"/>
          <w:sz w:val="24"/>
          <w:szCs w:val="21"/>
        </w:rPr>
        <w:t>至少包含执法调度、事件上报、事件办理、考核评价等功能，利用网格化指挥调度平台实现对污染事件从发现到处理完成的闭环管理。</w:t>
      </w:r>
    </w:p>
    <w:p>
      <w:pPr>
        <w:autoSpaceDE/>
        <w:autoSpaceDN/>
        <w:spacing w:line="360" w:lineRule="auto"/>
        <w:ind w:firstLine="480" w:firstLineChars="200"/>
        <w:rPr>
          <w:sz w:val="24"/>
          <w:szCs w:val="21"/>
        </w:rPr>
      </w:pPr>
      <w:r>
        <w:rPr>
          <w:rFonts w:hint="eastAsia"/>
          <w:sz w:val="24"/>
          <w:szCs w:val="21"/>
        </w:rPr>
        <w:t>3.2.7移动APP管理</w:t>
      </w:r>
    </w:p>
    <w:p>
      <w:pPr>
        <w:autoSpaceDE/>
        <w:autoSpaceDN/>
        <w:spacing w:line="360" w:lineRule="auto"/>
        <w:ind w:firstLine="480" w:firstLineChars="200"/>
        <w:rPr>
          <w:sz w:val="24"/>
          <w:szCs w:val="21"/>
        </w:rPr>
      </w:pPr>
      <w:r>
        <w:rPr>
          <w:rFonts w:hint="eastAsia"/>
          <w:sz w:val="24"/>
          <w:szCs w:val="21"/>
        </w:rPr>
        <w:t>至少包含空气质量决策支持、实时预警、精细溯源、预警预报、智能管控建议、公众服务随手拍、环境信访举报、身边的污染源、随手拍污染上报等功能。利用手机智能移动终端开发大气污染防治APP，实现智能化移动办公，调动环保志愿者和社会公众关注参与环保工作，需在投标文件中提供截图证明。</w:t>
      </w:r>
    </w:p>
    <w:p>
      <w:pPr>
        <w:autoSpaceDE/>
        <w:autoSpaceDN/>
        <w:spacing w:line="360" w:lineRule="auto"/>
        <w:ind w:firstLine="480" w:firstLineChars="200"/>
        <w:rPr>
          <w:sz w:val="24"/>
          <w:szCs w:val="21"/>
        </w:rPr>
      </w:pPr>
      <w:r>
        <w:rPr>
          <w:rFonts w:hint="eastAsia"/>
          <w:sz w:val="24"/>
          <w:szCs w:val="21"/>
        </w:rPr>
        <w:t>3.2.8污染源在线</w:t>
      </w:r>
    </w:p>
    <w:p>
      <w:pPr>
        <w:autoSpaceDE/>
        <w:autoSpaceDN/>
        <w:spacing w:line="360" w:lineRule="auto"/>
        <w:ind w:firstLine="480" w:firstLineChars="200"/>
        <w:rPr>
          <w:sz w:val="24"/>
          <w:szCs w:val="21"/>
        </w:rPr>
      </w:pPr>
      <w:r>
        <w:rPr>
          <w:rFonts w:hint="eastAsia"/>
          <w:sz w:val="24"/>
          <w:szCs w:val="21"/>
        </w:rPr>
        <w:t>接入环保和其他委办局的污染源相关数据，实现重点源、敏感源在线分析。重点污染源在线监控、一源一档、企业用电监控、工地扬尘监控、餐饮油烟在线监控等数据。</w:t>
      </w:r>
    </w:p>
    <w:p>
      <w:pPr>
        <w:autoSpaceDE/>
        <w:autoSpaceDN/>
        <w:spacing w:line="360" w:lineRule="auto"/>
        <w:ind w:firstLine="480" w:firstLineChars="200"/>
        <w:rPr>
          <w:sz w:val="24"/>
          <w:szCs w:val="21"/>
        </w:rPr>
      </w:pPr>
      <w:r>
        <w:rPr>
          <w:rFonts w:hint="eastAsia"/>
          <w:sz w:val="24"/>
          <w:szCs w:val="21"/>
        </w:rPr>
        <w:t>3.2.9移动源管控</w:t>
      </w:r>
    </w:p>
    <w:p>
      <w:pPr>
        <w:autoSpaceDE/>
        <w:autoSpaceDN/>
        <w:spacing w:line="360" w:lineRule="auto"/>
        <w:ind w:firstLine="480" w:firstLineChars="200"/>
        <w:rPr>
          <w:sz w:val="24"/>
          <w:szCs w:val="21"/>
        </w:rPr>
      </w:pPr>
      <w:r>
        <w:rPr>
          <w:rFonts w:hint="eastAsia"/>
          <w:sz w:val="24"/>
          <w:szCs w:val="21"/>
        </w:rPr>
        <w:t>接入现有机动车尾气遥感监测、重型柴油车远程监控平台数据。</w:t>
      </w:r>
    </w:p>
    <w:p>
      <w:pPr>
        <w:autoSpaceDE/>
        <w:autoSpaceDN/>
        <w:spacing w:line="360" w:lineRule="auto"/>
        <w:ind w:firstLine="480" w:firstLineChars="200"/>
        <w:rPr>
          <w:sz w:val="24"/>
          <w:szCs w:val="21"/>
        </w:rPr>
      </w:pPr>
      <w:r>
        <w:rPr>
          <w:rFonts w:hint="eastAsia"/>
          <w:sz w:val="24"/>
          <w:szCs w:val="21"/>
        </w:rPr>
        <w:t>3.2.10接入高空瞭望平台数据，实现对覆盖区全天候24小时电子监控。</w:t>
      </w:r>
    </w:p>
    <w:p>
      <w:pPr>
        <w:autoSpaceDE/>
        <w:autoSpaceDN/>
        <w:spacing w:line="360" w:lineRule="auto"/>
        <w:ind w:firstLine="480" w:firstLineChars="200"/>
        <w:rPr>
          <w:sz w:val="24"/>
          <w:szCs w:val="21"/>
        </w:rPr>
      </w:pPr>
      <w:r>
        <w:rPr>
          <w:rFonts w:hint="eastAsia"/>
          <w:sz w:val="24"/>
          <w:szCs w:val="21"/>
        </w:rPr>
        <w:t xml:space="preserve">3.3 </w:t>
      </w:r>
      <w:r>
        <w:rPr>
          <w:rFonts w:hint="eastAsia"/>
          <w:sz w:val="24"/>
          <w:szCs w:val="21"/>
          <w:lang w:val="en-US"/>
        </w:rPr>
        <w:t>专家团队</w:t>
      </w:r>
      <w:r>
        <w:rPr>
          <w:rFonts w:hint="eastAsia"/>
          <w:sz w:val="24"/>
          <w:szCs w:val="21"/>
        </w:rPr>
        <w:t>咨询服务</w:t>
      </w:r>
    </w:p>
    <w:p>
      <w:pPr>
        <w:autoSpaceDE/>
        <w:autoSpaceDN/>
        <w:spacing w:line="360" w:lineRule="auto"/>
        <w:ind w:firstLine="480" w:firstLineChars="200"/>
        <w:rPr>
          <w:sz w:val="24"/>
          <w:szCs w:val="21"/>
        </w:rPr>
      </w:pPr>
      <w:r>
        <w:rPr>
          <w:rFonts w:hint="eastAsia"/>
          <w:sz w:val="24"/>
          <w:szCs w:val="21"/>
        </w:rPr>
        <w:t>3.3.1 团队服务</w:t>
      </w:r>
    </w:p>
    <w:p>
      <w:pPr>
        <w:autoSpaceDE/>
        <w:autoSpaceDN/>
        <w:spacing w:line="360" w:lineRule="auto"/>
        <w:ind w:firstLine="480" w:firstLineChars="200"/>
        <w:rPr>
          <w:sz w:val="24"/>
          <w:szCs w:val="21"/>
        </w:rPr>
      </w:pPr>
      <w:r>
        <w:rPr>
          <w:rFonts w:hint="eastAsia"/>
          <w:sz w:val="24"/>
          <w:szCs w:val="21"/>
        </w:rPr>
        <w:t>驻场和远程指导服务</w:t>
      </w:r>
    </w:p>
    <w:p>
      <w:pPr>
        <w:autoSpaceDE/>
        <w:autoSpaceDN/>
        <w:spacing w:line="360" w:lineRule="auto"/>
        <w:ind w:firstLine="480" w:firstLineChars="200"/>
        <w:rPr>
          <w:sz w:val="24"/>
          <w:szCs w:val="21"/>
        </w:rPr>
      </w:pPr>
      <w:r>
        <w:rPr>
          <w:rFonts w:hint="eastAsia"/>
          <w:sz w:val="24"/>
          <w:szCs w:val="21"/>
        </w:rPr>
        <w:t>成立项目实施团队至少8人，并指派项目项目经理1人、驻场服务团队和运维团队，为日常巡查、信息推送、日常报告、专项报告、效果评估、设备运维提供支持。</w:t>
      </w:r>
    </w:p>
    <w:p>
      <w:pPr>
        <w:autoSpaceDE/>
        <w:autoSpaceDN/>
        <w:spacing w:line="360" w:lineRule="auto"/>
        <w:ind w:firstLine="480" w:firstLineChars="200"/>
        <w:rPr>
          <w:sz w:val="24"/>
          <w:szCs w:val="21"/>
        </w:rPr>
      </w:pPr>
      <w:r>
        <w:rPr>
          <w:rFonts w:hint="eastAsia"/>
          <w:sz w:val="24"/>
          <w:szCs w:val="21"/>
        </w:rPr>
        <w:t>定期组织召开专家会诊以及专家知识宣讲，针对南阳市企业污染，分析评估污染成因，指导污染防治工作开展，并提出下阶段空气质量改善的污染防治措施及方案，组织实施并反馈结果。</w:t>
      </w:r>
    </w:p>
    <w:p>
      <w:pPr>
        <w:autoSpaceDE/>
        <w:autoSpaceDN/>
        <w:spacing w:line="360" w:lineRule="auto"/>
        <w:ind w:firstLine="480" w:firstLineChars="200"/>
        <w:rPr>
          <w:sz w:val="24"/>
          <w:szCs w:val="21"/>
        </w:rPr>
      </w:pPr>
      <w:r>
        <w:rPr>
          <w:rFonts w:hint="eastAsia"/>
          <w:sz w:val="24"/>
          <w:szCs w:val="21"/>
        </w:rPr>
        <w:t>本地化机制体制服务</w:t>
      </w:r>
    </w:p>
    <w:p>
      <w:pPr>
        <w:autoSpaceDE/>
        <w:autoSpaceDN/>
        <w:spacing w:line="360" w:lineRule="auto"/>
        <w:ind w:firstLine="480" w:firstLineChars="200"/>
        <w:rPr>
          <w:sz w:val="24"/>
          <w:szCs w:val="21"/>
        </w:rPr>
      </w:pPr>
      <w:r>
        <w:rPr>
          <w:rFonts w:hint="eastAsia"/>
          <w:sz w:val="24"/>
          <w:szCs w:val="21"/>
        </w:rPr>
        <w:t>网格化管理体制机制建设。包含信息推送机制、报警信息事件处理及反馈机制、执法监管机制、绩效考核机制；</w:t>
      </w:r>
    </w:p>
    <w:p>
      <w:pPr>
        <w:autoSpaceDE/>
        <w:autoSpaceDN/>
        <w:spacing w:line="360" w:lineRule="auto"/>
        <w:ind w:firstLine="480" w:firstLineChars="200"/>
        <w:rPr>
          <w:sz w:val="24"/>
          <w:szCs w:val="21"/>
        </w:rPr>
      </w:pPr>
      <w:r>
        <w:rPr>
          <w:rFonts w:hint="eastAsia"/>
          <w:sz w:val="24"/>
          <w:szCs w:val="21"/>
        </w:rPr>
        <w:t>会商研判，含日常会商、重点时段会商、应急会商，确定下一步工作重点</w:t>
      </w:r>
    </w:p>
    <w:p>
      <w:pPr>
        <w:autoSpaceDE/>
        <w:autoSpaceDN/>
        <w:spacing w:line="360" w:lineRule="auto"/>
        <w:ind w:firstLine="480" w:firstLineChars="200"/>
        <w:rPr>
          <w:sz w:val="24"/>
          <w:szCs w:val="21"/>
        </w:rPr>
      </w:pPr>
      <w:r>
        <w:rPr>
          <w:rFonts w:hint="eastAsia"/>
          <w:sz w:val="24"/>
          <w:szCs w:val="21"/>
        </w:rPr>
        <w:t>数据分析服务</w:t>
      </w:r>
    </w:p>
    <w:p>
      <w:pPr>
        <w:autoSpaceDE/>
        <w:autoSpaceDN/>
        <w:spacing w:line="360" w:lineRule="auto"/>
        <w:ind w:firstLine="480" w:firstLineChars="200"/>
        <w:rPr>
          <w:sz w:val="24"/>
          <w:szCs w:val="21"/>
        </w:rPr>
      </w:pPr>
      <w:r>
        <w:rPr>
          <w:rFonts w:hint="eastAsia"/>
          <w:sz w:val="24"/>
          <w:szCs w:val="21"/>
        </w:rPr>
        <w:t>利用统计方法对监测设备数据及其它相关数据进行分析与挖掘，以求最大化开发数据价值，发挥数据的作用，从而实现现状分析、原因分析以及预测分析等功能。包括目标分解与动态调控、日常分析、专项分析、管控效果评估。根据环境质量情况及时发布排查和管控建议手机APP、微信推送服务每年＞800条，数据分析人员进行日报、周报、月报、季报、半年报、年报、污染分析专报等报告的编制，每年&gt;400份，根据政府定期研判工作会议要求，对近期大气环境质量进行专项分析并汇报。根据需要对展开的专项治理行动形成专项分析报告，根据环境的预警预报的结果，结合气象条件的分析，提前给出重污染天气预警和相应的管理建议。分析重污染期间的污染浓度变化规律，进行成因解析，并对管控效果进行评估。</w:t>
      </w:r>
    </w:p>
    <w:p>
      <w:pPr>
        <w:autoSpaceDE/>
        <w:autoSpaceDN/>
        <w:spacing w:line="360" w:lineRule="auto"/>
        <w:ind w:firstLine="480" w:firstLineChars="200"/>
        <w:rPr>
          <w:sz w:val="24"/>
          <w:szCs w:val="21"/>
          <w:lang w:bidi="ar"/>
        </w:rPr>
      </w:pPr>
      <w:r>
        <w:rPr>
          <w:rFonts w:hint="eastAsia"/>
          <w:sz w:val="24"/>
          <w:szCs w:val="21"/>
          <w:lang w:bidi="ar"/>
        </w:rPr>
        <w:t>巡查排查服务</w:t>
      </w:r>
    </w:p>
    <w:p>
      <w:pPr>
        <w:autoSpaceDE/>
        <w:autoSpaceDN/>
        <w:spacing w:line="360" w:lineRule="auto"/>
        <w:ind w:firstLine="480" w:firstLineChars="200"/>
        <w:rPr>
          <w:sz w:val="24"/>
          <w:szCs w:val="21"/>
        </w:rPr>
      </w:pPr>
      <w:r>
        <w:rPr>
          <w:rFonts w:hint="eastAsia"/>
          <w:sz w:val="24"/>
          <w:szCs w:val="21"/>
        </w:rPr>
        <w:t>对城区主要道路、重点建筑工地、企业、垃圾焚烧、餐饮油烟等各类污染源进行调查取证并及时上报，开展扬尘管控、机动车尾气管控、散煤管控、无组织排放管控等专项行动。</w:t>
      </w:r>
    </w:p>
    <w:p>
      <w:pPr>
        <w:autoSpaceDE/>
        <w:autoSpaceDN/>
        <w:spacing w:line="360" w:lineRule="auto"/>
        <w:ind w:firstLine="480" w:firstLineChars="200"/>
        <w:rPr>
          <w:sz w:val="24"/>
          <w:szCs w:val="21"/>
          <w:lang w:bidi="ar"/>
        </w:rPr>
      </w:pPr>
      <w:r>
        <w:rPr>
          <w:rFonts w:hint="eastAsia"/>
          <w:sz w:val="24"/>
          <w:szCs w:val="21"/>
          <w:lang w:bidi="ar"/>
        </w:rPr>
        <w:t>重污染过程预警管控服务</w:t>
      </w:r>
    </w:p>
    <w:p>
      <w:pPr>
        <w:autoSpaceDE/>
        <w:autoSpaceDN/>
        <w:spacing w:line="360" w:lineRule="auto"/>
        <w:ind w:firstLine="480" w:firstLineChars="200"/>
        <w:rPr>
          <w:sz w:val="24"/>
          <w:szCs w:val="21"/>
        </w:rPr>
      </w:pPr>
      <w:r>
        <w:rPr>
          <w:rFonts w:hint="eastAsia"/>
          <w:sz w:val="24"/>
          <w:szCs w:val="21"/>
        </w:rPr>
        <w:t>至少包含重污染过程提前预警、重污染过程监控与管控等，降低重污染过程对全年数据影响。</w:t>
      </w:r>
    </w:p>
    <w:p>
      <w:pPr>
        <w:autoSpaceDE/>
        <w:autoSpaceDN/>
        <w:spacing w:line="360" w:lineRule="auto"/>
        <w:ind w:firstLine="480" w:firstLineChars="200"/>
        <w:rPr>
          <w:sz w:val="24"/>
          <w:szCs w:val="21"/>
          <w:lang w:bidi="ar"/>
        </w:rPr>
      </w:pPr>
      <w:r>
        <w:rPr>
          <w:rFonts w:hint="eastAsia"/>
          <w:sz w:val="24"/>
          <w:szCs w:val="21"/>
          <w:lang w:bidi="ar"/>
        </w:rPr>
        <w:t>重点区域管控方案</w:t>
      </w:r>
    </w:p>
    <w:p>
      <w:pPr>
        <w:autoSpaceDE/>
        <w:autoSpaceDN/>
        <w:spacing w:line="360" w:lineRule="auto"/>
        <w:ind w:firstLine="480" w:firstLineChars="200"/>
        <w:rPr>
          <w:sz w:val="24"/>
          <w:szCs w:val="21"/>
        </w:rPr>
      </w:pPr>
      <w:r>
        <w:rPr>
          <w:rFonts w:hint="eastAsia"/>
          <w:sz w:val="24"/>
          <w:szCs w:val="21"/>
        </w:rPr>
        <w:t>根据重点区域周边污染源分布情况，分析各考核点位数据规律，制定“一点一策”管控方案，对考核点不同范围内的特征污染源制定不同的管控措施。</w:t>
      </w:r>
    </w:p>
    <w:p>
      <w:pPr>
        <w:autoSpaceDE/>
        <w:autoSpaceDN/>
        <w:spacing w:line="360" w:lineRule="auto"/>
        <w:ind w:firstLine="480" w:firstLineChars="200"/>
        <w:rPr>
          <w:sz w:val="24"/>
          <w:szCs w:val="21"/>
          <w:lang w:bidi="ar"/>
        </w:rPr>
      </w:pPr>
      <w:r>
        <w:rPr>
          <w:rFonts w:hint="eastAsia"/>
          <w:sz w:val="24"/>
          <w:szCs w:val="21"/>
        </w:rPr>
        <w:t xml:space="preserve">3.3.2 </w:t>
      </w:r>
      <w:r>
        <w:rPr>
          <w:rFonts w:hint="eastAsia"/>
          <w:sz w:val="24"/>
          <w:szCs w:val="21"/>
          <w:lang w:bidi="ar"/>
        </w:rPr>
        <w:t>移动监测服务</w:t>
      </w:r>
    </w:p>
    <w:p>
      <w:pPr>
        <w:autoSpaceDE/>
        <w:autoSpaceDN/>
        <w:spacing w:line="360" w:lineRule="auto"/>
        <w:ind w:firstLine="480" w:firstLineChars="200"/>
        <w:rPr>
          <w:sz w:val="24"/>
          <w:szCs w:val="21"/>
          <w:lang w:bidi="ar"/>
        </w:rPr>
      </w:pPr>
      <w:r>
        <w:rPr>
          <w:rFonts w:hint="eastAsia"/>
          <w:sz w:val="24"/>
          <w:szCs w:val="21"/>
          <w:lang w:bidi="ar"/>
        </w:rPr>
        <w:t>大气走航监测</w:t>
      </w:r>
    </w:p>
    <w:p>
      <w:pPr>
        <w:autoSpaceDE/>
        <w:autoSpaceDN/>
        <w:spacing w:line="360" w:lineRule="auto"/>
        <w:ind w:firstLine="480" w:firstLineChars="200"/>
        <w:rPr>
          <w:sz w:val="24"/>
          <w:szCs w:val="21"/>
        </w:rPr>
      </w:pPr>
      <w:r>
        <w:rPr>
          <w:rFonts w:hint="eastAsia"/>
          <w:sz w:val="24"/>
          <w:szCs w:val="21"/>
        </w:rPr>
        <w:t>利用大气走航车对城区进行常规或应急走航数据监测，监测的数据包括PM</w:t>
      </w:r>
      <w:r>
        <w:rPr>
          <w:rFonts w:hint="eastAsia"/>
          <w:sz w:val="24"/>
          <w:szCs w:val="21"/>
          <w:vertAlign w:val="subscript"/>
        </w:rPr>
        <w:t>10</w:t>
      </w:r>
      <w:r>
        <w:rPr>
          <w:rFonts w:hint="eastAsia"/>
          <w:sz w:val="24"/>
          <w:szCs w:val="21"/>
        </w:rPr>
        <w:t>、PM</w:t>
      </w:r>
      <w:r>
        <w:rPr>
          <w:rFonts w:hint="eastAsia"/>
          <w:sz w:val="24"/>
          <w:szCs w:val="21"/>
          <w:vertAlign w:val="subscript"/>
        </w:rPr>
        <w:t>2.5</w:t>
      </w:r>
      <w:r>
        <w:rPr>
          <w:rFonts w:hint="eastAsia"/>
          <w:sz w:val="24"/>
          <w:szCs w:val="21"/>
        </w:rPr>
        <w:t>、CO、O</w:t>
      </w:r>
      <w:r>
        <w:rPr>
          <w:rFonts w:hint="eastAsia"/>
          <w:sz w:val="24"/>
          <w:szCs w:val="21"/>
          <w:vertAlign w:val="subscript"/>
        </w:rPr>
        <w:t>3</w:t>
      </w:r>
      <w:r>
        <w:rPr>
          <w:rFonts w:hint="eastAsia"/>
          <w:sz w:val="24"/>
          <w:szCs w:val="21"/>
        </w:rPr>
        <w:t>、SO</w:t>
      </w:r>
      <w:r>
        <w:rPr>
          <w:rFonts w:hint="eastAsia"/>
          <w:sz w:val="24"/>
          <w:szCs w:val="21"/>
          <w:vertAlign w:val="subscript"/>
        </w:rPr>
        <w:t>2</w:t>
      </w:r>
      <w:r>
        <w:rPr>
          <w:rFonts w:hint="eastAsia"/>
          <w:sz w:val="24"/>
          <w:szCs w:val="21"/>
        </w:rPr>
        <w:t>、NOx等，走航结束后提交分析报告。</w:t>
      </w:r>
    </w:p>
    <w:p>
      <w:pPr>
        <w:autoSpaceDE/>
        <w:autoSpaceDN/>
        <w:spacing w:line="360" w:lineRule="auto"/>
        <w:ind w:firstLine="480" w:firstLineChars="200"/>
        <w:rPr>
          <w:sz w:val="24"/>
          <w:szCs w:val="21"/>
          <w:lang w:bidi="ar"/>
        </w:rPr>
      </w:pPr>
      <w:r>
        <w:rPr>
          <w:rFonts w:hint="eastAsia"/>
          <w:sz w:val="24"/>
          <w:szCs w:val="21"/>
          <w:lang w:bidi="ar"/>
        </w:rPr>
        <w:t>道路积尘负荷走航</w:t>
      </w:r>
    </w:p>
    <w:p>
      <w:pPr>
        <w:autoSpaceDE/>
        <w:autoSpaceDN/>
        <w:spacing w:line="360" w:lineRule="auto"/>
        <w:ind w:firstLine="480" w:firstLineChars="200"/>
        <w:rPr>
          <w:sz w:val="21"/>
          <w:szCs w:val="21"/>
        </w:rPr>
      </w:pPr>
      <w:r>
        <w:rPr>
          <w:rFonts w:hint="eastAsia"/>
          <w:sz w:val="24"/>
          <w:szCs w:val="21"/>
        </w:rPr>
        <w:t>利用城市道路积尘负荷监测车对重点区域、重点道路开展道路积尘负荷走航监测，走航结束后提交分析报告。</w:t>
      </w:r>
    </w:p>
    <w:p>
      <w:pPr>
        <w:autoSpaceDE/>
        <w:autoSpaceDN/>
        <w:spacing w:line="360" w:lineRule="auto"/>
        <w:ind w:firstLine="480" w:firstLineChars="200"/>
        <w:rPr>
          <w:sz w:val="24"/>
          <w:szCs w:val="21"/>
        </w:rPr>
      </w:pPr>
      <w:r>
        <w:rPr>
          <w:rFonts w:hint="eastAsia"/>
          <w:sz w:val="24"/>
          <w:szCs w:val="21"/>
        </w:rPr>
        <w:t>3.3.3 溯源解析服务</w:t>
      </w:r>
    </w:p>
    <w:p>
      <w:pPr>
        <w:widowControl/>
        <w:autoSpaceDE/>
        <w:autoSpaceDN/>
        <w:spacing w:line="360" w:lineRule="auto"/>
        <w:ind w:firstLine="480" w:firstLineChars="200"/>
        <w:textAlignment w:val="center"/>
        <w:rPr>
          <w:sz w:val="24"/>
          <w:szCs w:val="21"/>
        </w:rPr>
      </w:pPr>
      <w:r>
        <w:rPr>
          <w:rFonts w:hint="eastAsia"/>
          <w:sz w:val="24"/>
          <w:szCs w:val="21"/>
          <w:lang w:bidi="ar"/>
        </w:rPr>
        <w:t>颗粒物源解析</w:t>
      </w:r>
    </w:p>
    <w:p>
      <w:pPr>
        <w:autoSpaceDE/>
        <w:autoSpaceDN/>
        <w:spacing w:line="360" w:lineRule="auto"/>
        <w:ind w:firstLine="480" w:firstLineChars="200"/>
        <w:rPr>
          <w:sz w:val="24"/>
          <w:szCs w:val="21"/>
          <w:lang w:bidi="ar"/>
        </w:rPr>
      </w:pPr>
      <w:r>
        <w:rPr>
          <w:rFonts w:hint="eastAsia"/>
          <w:sz w:val="24"/>
          <w:szCs w:val="21"/>
        </w:rPr>
        <w:t>利用</w:t>
      </w:r>
      <w:r>
        <w:rPr>
          <w:rFonts w:hint="eastAsia"/>
          <w:sz w:val="24"/>
          <w:szCs w:val="21"/>
          <w:lang w:bidi="ar"/>
        </w:rPr>
        <w:t>颗粒物源解析车对本地区域颗粒物组分构成、变化趋势进行解析，识别PM2.5主要来源，完成后提交解析报告。</w:t>
      </w:r>
    </w:p>
    <w:p>
      <w:pPr>
        <w:autoSpaceDE/>
        <w:autoSpaceDN/>
        <w:spacing w:line="360" w:lineRule="auto"/>
        <w:ind w:firstLine="480" w:firstLineChars="200"/>
        <w:rPr>
          <w:rStyle w:val="30"/>
          <w:rFonts w:ascii="宋体" w:hAnsi="宋体" w:cs="宋体"/>
          <w:color w:val="auto"/>
          <w:sz w:val="24"/>
          <w:lang w:bidi="ar"/>
        </w:rPr>
      </w:pPr>
      <w:r>
        <w:rPr>
          <w:rFonts w:hint="eastAsia"/>
          <w:sz w:val="24"/>
          <w:szCs w:val="21"/>
          <w:lang w:bidi="ar"/>
        </w:rPr>
        <w:t>VOCs</w:t>
      </w:r>
      <w:r>
        <w:rPr>
          <w:rStyle w:val="30"/>
          <w:rFonts w:hint="eastAsia" w:ascii="宋体" w:hAnsi="宋体" w:cs="宋体"/>
          <w:color w:val="auto"/>
          <w:sz w:val="24"/>
          <w:lang w:bidi="ar"/>
        </w:rPr>
        <w:t>组分解析</w:t>
      </w:r>
    </w:p>
    <w:p>
      <w:pPr>
        <w:autoSpaceDE/>
        <w:autoSpaceDN/>
        <w:spacing w:line="360" w:lineRule="auto"/>
        <w:ind w:firstLine="480" w:firstLineChars="200"/>
        <w:rPr>
          <w:sz w:val="24"/>
          <w:szCs w:val="21"/>
        </w:rPr>
      </w:pPr>
      <w:r>
        <w:rPr>
          <w:rFonts w:hint="eastAsia"/>
          <w:sz w:val="24"/>
          <w:szCs w:val="21"/>
        </w:rPr>
        <w:t>使用VOCs组分在线监测设备对敏感点大气环境中的挥发性有机物进行监测分析，根据监测组分浓度水平、变化规律以及分布特征，对环境中挥发性有机物进行来源解析，定性定量评估本地挥发性有机物的污染来源，追溯污染源类型或者污染源企业。</w:t>
      </w:r>
    </w:p>
    <w:p>
      <w:pPr>
        <w:autoSpaceDE/>
        <w:autoSpaceDN/>
        <w:spacing w:line="360" w:lineRule="auto"/>
        <w:ind w:firstLine="480" w:firstLineChars="200"/>
        <w:rPr>
          <w:rStyle w:val="30"/>
          <w:rFonts w:ascii="宋体" w:hAnsi="宋体" w:cs="宋体"/>
          <w:color w:val="auto"/>
          <w:sz w:val="24"/>
          <w:lang w:bidi="ar"/>
        </w:rPr>
      </w:pPr>
      <w:r>
        <w:rPr>
          <w:rFonts w:hint="eastAsia"/>
          <w:sz w:val="24"/>
          <w:szCs w:val="21"/>
          <w:lang w:bidi="ar"/>
        </w:rPr>
        <w:t>VOCs</w:t>
      </w:r>
      <w:r>
        <w:rPr>
          <w:rStyle w:val="30"/>
          <w:rFonts w:hint="eastAsia" w:ascii="宋体" w:hAnsi="宋体" w:cs="宋体"/>
          <w:color w:val="auto"/>
          <w:sz w:val="24"/>
          <w:lang w:bidi="ar"/>
        </w:rPr>
        <w:t>走航</w:t>
      </w:r>
    </w:p>
    <w:p>
      <w:pPr>
        <w:autoSpaceDE/>
        <w:autoSpaceDN/>
        <w:spacing w:line="360" w:lineRule="auto"/>
        <w:ind w:firstLine="480" w:firstLineChars="200"/>
        <w:rPr>
          <w:sz w:val="24"/>
          <w:szCs w:val="21"/>
        </w:rPr>
      </w:pPr>
      <w:r>
        <w:rPr>
          <w:rFonts w:hint="eastAsia"/>
          <w:sz w:val="24"/>
          <w:szCs w:val="21"/>
        </w:rPr>
        <w:t>利用VOCs走航车对重点区域、重点行业、重点企业进行走航监测，快速锁定污染来源。</w:t>
      </w:r>
    </w:p>
    <w:p>
      <w:pPr>
        <w:autoSpaceDE/>
        <w:autoSpaceDN/>
        <w:spacing w:line="360" w:lineRule="auto"/>
        <w:ind w:firstLine="480" w:firstLineChars="200"/>
        <w:rPr>
          <w:rStyle w:val="30"/>
          <w:rFonts w:ascii="宋体" w:hAnsi="宋体" w:cs="宋体"/>
          <w:color w:val="auto"/>
          <w:sz w:val="24"/>
          <w:lang w:bidi="ar"/>
        </w:rPr>
      </w:pPr>
      <w:r>
        <w:rPr>
          <w:rFonts w:hint="eastAsia"/>
          <w:sz w:val="24"/>
          <w:szCs w:val="21"/>
          <w:lang w:bidi="ar"/>
        </w:rPr>
        <w:t>VOCs</w:t>
      </w:r>
      <w:r>
        <w:rPr>
          <w:rStyle w:val="30"/>
          <w:rFonts w:hint="eastAsia" w:ascii="宋体" w:hAnsi="宋体" w:cs="宋体"/>
          <w:color w:val="auto"/>
          <w:sz w:val="24"/>
          <w:lang w:bidi="ar"/>
        </w:rPr>
        <w:t>泄露热成像</w:t>
      </w:r>
    </w:p>
    <w:p>
      <w:pPr>
        <w:autoSpaceDE/>
        <w:autoSpaceDN/>
        <w:spacing w:line="360" w:lineRule="auto"/>
        <w:ind w:firstLine="480" w:firstLineChars="200"/>
        <w:rPr>
          <w:sz w:val="24"/>
          <w:szCs w:val="21"/>
        </w:rPr>
      </w:pPr>
      <w:r>
        <w:rPr>
          <w:rFonts w:hint="eastAsia"/>
          <w:sz w:val="24"/>
          <w:szCs w:val="21"/>
        </w:rPr>
        <w:t>针对区域内的高值区域（工业园区、企业等），利用</w:t>
      </w:r>
      <w:bookmarkStart w:id="24" w:name="_Toc74737114"/>
      <w:r>
        <w:rPr>
          <w:rFonts w:hint="eastAsia"/>
          <w:sz w:val="24"/>
          <w:szCs w:val="21"/>
        </w:rPr>
        <w:t>VOCs红外热成像气体泄漏检测仪</w:t>
      </w:r>
      <w:bookmarkEnd w:id="24"/>
      <w:r>
        <w:rPr>
          <w:rFonts w:hint="eastAsia"/>
          <w:sz w:val="24"/>
          <w:szCs w:val="21"/>
        </w:rPr>
        <w:t>进行定性排查溯源。</w:t>
      </w:r>
    </w:p>
    <w:p>
      <w:pPr>
        <w:autoSpaceDE/>
        <w:autoSpaceDN/>
        <w:spacing w:line="360" w:lineRule="auto"/>
        <w:ind w:firstLine="480" w:firstLineChars="200"/>
        <w:rPr>
          <w:sz w:val="24"/>
          <w:szCs w:val="21"/>
          <w:lang w:bidi="ar"/>
        </w:rPr>
      </w:pPr>
      <w:r>
        <w:rPr>
          <w:rFonts w:hint="eastAsia"/>
          <w:sz w:val="24"/>
          <w:szCs w:val="21"/>
          <w:lang w:bidi="ar"/>
        </w:rPr>
        <w:t>非甲烷总烃监测</w:t>
      </w:r>
    </w:p>
    <w:p>
      <w:pPr>
        <w:autoSpaceDE/>
        <w:autoSpaceDN/>
        <w:spacing w:line="360" w:lineRule="auto"/>
        <w:ind w:firstLine="480" w:firstLineChars="200"/>
        <w:rPr>
          <w:sz w:val="24"/>
          <w:szCs w:val="21"/>
        </w:rPr>
      </w:pPr>
      <w:r>
        <w:rPr>
          <w:rFonts w:hint="eastAsia"/>
          <w:sz w:val="24"/>
          <w:szCs w:val="21"/>
        </w:rPr>
        <w:t>根据排查溯源结果，利用便携式挥发性有机物气体检测仪进行定量检测。</w:t>
      </w:r>
    </w:p>
    <w:p>
      <w:pPr>
        <w:pStyle w:val="26"/>
        <w:autoSpaceDE/>
        <w:autoSpaceDN/>
        <w:spacing w:line="360" w:lineRule="auto"/>
        <w:ind w:left="440" w:leftChars="200" w:firstLine="0"/>
        <w:outlineLvl w:val="1"/>
        <w:rPr>
          <w:b/>
          <w:sz w:val="21"/>
          <w:szCs w:val="21"/>
        </w:rPr>
      </w:pPr>
      <w:bookmarkStart w:id="25" w:name="_Toc18499"/>
      <w:r>
        <w:rPr>
          <w:rFonts w:hint="eastAsia"/>
          <w:b/>
          <w:sz w:val="28"/>
          <w:szCs w:val="28"/>
        </w:rPr>
        <w:t>四、服务人员要求</w:t>
      </w:r>
      <w:bookmarkEnd w:id="25"/>
    </w:p>
    <w:p>
      <w:pPr>
        <w:autoSpaceDE/>
        <w:autoSpaceDN/>
        <w:spacing w:line="360" w:lineRule="auto"/>
        <w:ind w:firstLine="480" w:firstLineChars="200"/>
        <w:rPr>
          <w:sz w:val="24"/>
          <w:szCs w:val="21"/>
        </w:rPr>
      </w:pPr>
      <w:r>
        <w:rPr>
          <w:rFonts w:hint="eastAsia"/>
          <w:sz w:val="24"/>
          <w:szCs w:val="21"/>
        </w:rPr>
        <w:t>驻场团队不少于8人，应设立1名项目经理，负责整个项目的统筹安排与项目的推进工作以及保障项目顺利完结，下设数据分析组、现场组，由项目经理负责统筹安排。数据分析组包括环境分析专员和气象分析专员，应具有大气环境相关专业本科以上学历，至少应包含1名以上硕士，主要负责数据的监测与分析、天气形势研判与会商、并编写相应报告；现场组人员应具有环境科学相关专业专科以上学历，主要负责污染源的巡源、锁源、污染源的取证及举报、地面污染源巡查。运维人员应具有国家网环境空气自动监测运维技术人员考核合格证，</w:t>
      </w:r>
      <w:r>
        <w:rPr>
          <w:rFonts w:hint="eastAsia"/>
          <w:sz w:val="24"/>
          <w:szCs w:val="21"/>
          <w:shd w:val="clear" w:color="auto" w:fill="FFFFFF"/>
        </w:rPr>
        <w:t>定期检查各监测仪器、数据传输、条件支持等运行状态，及时处理故障，做好预防性维护工作；同时定期做好监测质控管理，保证数据的可溯源和可靠性。</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332"/>
        <w:gridCol w:w="6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28" w:type="pct"/>
            <w:gridSpan w:val="2"/>
            <w:vAlign w:val="center"/>
          </w:tcPr>
          <w:p>
            <w:pPr>
              <w:adjustRightInd w:val="0"/>
              <w:jc w:val="center"/>
              <w:rPr>
                <w:b/>
                <w:sz w:val="21"/>
                <w:szCs w:val="21"/>
              </w:rPr>
            </w:pPr>
            <w:r>
              <w:rPr>
                <w:rFonts w:hint="eastAsia"/>
                <w:b/>
                <w:sz w:val="21"/>
                <w:szCs w:val="21"/>
              </w:rPr>
              <w:t>人员</w:t>
            </w:r>
          </w:p>
        </w:tc>
        <w:tc>
          <w:tcPr>
            <w:tcW w:w="3571" w:type="pct"/>
            <w:vAlign w:val="center"/>
          </w:tcPr>
          <w:p>
            <w:pPr>
              <w:adjustRightInd w:val="0"/>
              <w:jc w:val="center"/>
              <w:rPr>
                <w:b/>
                <w:sz w:val="21"/>
                <w:szCs w:val="21"/>
              </w:rPr>
            </w:pPr>
            <w:r>
              <w:rPr>
                <w:rFonts w:hint="eastAsia"/>
                <w:b/>
                <w:sz w:val="21"/>
                <w:szCs w:val="21"/>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28" w:type="pct"/>
            <w:gridSpan w:val="2"/>
            <w:vAlign w:val="center"/>
          </w:tcPr>
          <w:p>
            <w:pPr>
              <w:adjustRightInd w:val="0"/>
              <w:jc w:val="center"/>
              <w:rPr>
                <w:b/>
                <w:sz w:val="21"/>
                <w:szCs w:val="21"/>
              </w:rPr>
            </w:pPr>
            <w:r>
              <w:rPr>
                <w:rFonts w:hint="eastAsia"/>
                <w:b/>
                <w:sz w:val="21"/>
                <w:szCs w:val="21"/>
              </w:rPr>
              <w:t>项目经理</w:t>
            </w:r>
          </w:p>
        </w:tc>
        <w:tc>
          <w:tcPr>
            <w:tcW w:w="3571" w:type="pct"/>
            <w:vAlign w:val="center"/>
          </w:tcPr>
          <w:p>
            <w:pPr>
              <w:rPr>
                <w:sz w:val="21"/>
                <w:szCs w:val="21"/>
              </w:rPr>
            </w:pPr>
            <w:r>
              <w:rPr>
                <w:rFonts w:hint="eastAsia"/>
                <w:sz w:val="21"/>
                <w:szCs w:val="21"/>
              </w:rPr>
              <w:t>负责对项目日常管理以及与城市大气办及相关部门进行对接，配合市政府组织并参加大气污染防治研判及专家讨论等会议，并调度公司相关资源为</w:t>
            </w:r>
            <w:r>
              <w:rPr>
                <w:rFonts w:hint="eastAsia"/>
                <w:sz w:val="21"/>
                <w:szCs w:val="21"/>
                <w:lang w:val="en-US"/>
              </w:rPr>
              <w:t>南阳市大气污染防治精准决策</w:t>
            </w:r>
            <w:r>
              <w:rPr>
                <w:rFonts w:hint="eastAsia"/>
                <w:sz w:val="21"/>
                <w:szCs w:val="21"/>
              </w:rPr>
              <w:t>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1" w:type="pct"/>
            <w:vMerge w:val="restart"/>
            <w:vAlign w:val="center"/>
          </w:tcPr>
          <w:p>
            <w:pPr>
              <w:adjustRightInd w:val="0"/>
              <w:jc w:val="center"/>
              <w:rPr>
                <w:b/>
                <w:sz w:val="21"/>
                <w:szCs w:val="21"/>
              </w:rPr>
            </w:pPr>
            <w:r>
              <w:rPr>
                <w:rFonts w:hint="eastAsia"/>
                <w:b/>
                <w:sz w:val="21"/>
                <w:szCs w:val="21"/>
              </w:rPr>
              <w:t>数据分析组</w:t>
            </w:r>
          </w:p>
        </w:tc>
        <w:tc>
          <w:tcPr>
            <w:tcW w:w="716" w:type="pct"/>
            <w:vAlign w:val="center"/>
          </w:tcPr>
          <w:p>
            <w:pPr>
              <w:adjustRightInd w:val="0"/>
              <w:jc w:val="center"/>
              <w:rPr>
                <w:b/>
                <w:sz w:val="21"/>
                <w:szCs w:val="21"/>
              </w:rPr>
            </w:pPr>
            <w:r>
              <w:rPr>
                <w:rFonts w:hint="eastAsia"/>
                <w:b/>
                <w:sz w:val="21"/>
                <w:szCs w:val="21"/>
              </w:rPr>
              <w:t>环境分析专员</w:t>
            </w:r>
          </w:p>
        </w:tc>
        <w:tc>
          <w:tcPr>
            <w:tcW w:w="3571" w:type="pct"/>
            <w:vAlign w:val="center"/>
          </w:tcPr>
          <w:p>
            <w:pPr>
              <w:rPr>
                <w:sz w:val="21"/>
                <w:szCs w:val="21"/>
              </w:rPr>
            </w:pPr>
            <w:r>
              <w:rPr>
                <w:rFonts w:hint="eastAsia"/>
                <w:sz w:val="21"/>
                <w:szCs w:val="21"/>
              </w:rPr>
              <w:t>结合国/省控空气站、在线污染源、网格化监测、气象等数据进行整合分析，对城市空气质量进行分析及研判，提出环境管控建议并提供相应专用报告。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1" w:type="pct"/>
            <w:vMerge w:val="continue"/>
            <w:vAlign w:val="center"/>
          </w:tcPr>
          <w:p>
            <w:pPr>
              <w:adjustRightInd w:val="0"/>
              <w:jc w:val="center"/>
              <w:rPr>
                <w:b/>
                <w:sz w:val="21"/>
                <w:szCs w:val="21"/>
              </w:rPr>
            </w:pPr>
          </w:p>
        </w:tc>
        <w:tc>
          <w:tcPr>
            <w:tcW w:w="716" w:type="pct"/>
            <w:vAlign w:val="center"/>
          </w:tcPr>
          <w:p>
            <w:pPr>
              <w:adjustRightInd w:val="0"/>
              <w:jc w:val="center"/>
              <w:rPr>
                <w:b/>
                <w:sz w:val="21"/>
                <w:szCs w:val="21"/>
              </w:rPr>
            </w:pPr>
            <w:r>
              <w:rPr>
                <w:rFonts w:hint="eastAsia"/>
                <w:b/>
                <w:sz w:val="21"/>
                <w:szCs w:val="21"/>
              </w:rPr>
              <w:t>气象分析专员</w:t>
            </w:r>
          </w:p>
        </w:tc>
        <w:tc>
          <w:tcPr>
            <w:tcW w:w="3571" w:type="pct"/>
            <w:vAlign w:val="center"/>
          </w:tcPr>
          <w:p>
            <w:pPr>
              <w:rPr>
                <w:sz w:val="21"/>
                <w:szCs w:val="21"/>
              </w:rPr>
            </w:pPr>
            <w:r>
              <w:rPr>
                <w:rFonts w:hint="eastAsia"/>
                <w:sz w:val="21"/>
                <w:szCs w:val="21"/>
              </w:rPr>
              <w:t>利用气象局、网格化平台气象数据，分析气象条件对环境空气质量影响，通过后向轨迹模型对污染形成来源及未来环境空气质量变化进行预测，进而为城市制定环境管控措施提供建议。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28" w:type="pct"/>
            <w:gridSpan w:val="2"/>
            <w:vAlign w:val="center"/>
          </w:tcPr>
          <w:p>
            <w:pPr>
              <w:adjustRightInd w:val="0"/>
              <w:jc w:val="center"/>
              <w:rPr>
                <w:b/>
                <w:sz w:val="21"/>
                <w:szCs w:val="21"/>
              </w:rPr>
            </w:pPr>
            <w:r>
              <w:rPr>
                <w:rFonts w:hint="eastAsia"/>
                <w:b/>
                <w:sz w:val="21"/>
                <w:szCs w:val="21"/>
              </w:rPr>
              <w:t>现场组</w:t>
            </w:r>
          </w:p>
        </w:tc>
        <w:tc>
          <w:tcPr>
            <w:tcW w:w="3571" w:type="pct"/>
            <w:vAlign w:val="center"/>
          </w:tcPr>
          <w:p>
            <w:pPr>
              <w:rPr>
                <w:sz w:val="21"/>
                <w:szCs w:val="21"/>
              </w:rPr>
            </w:pPr>
            <w:r>
              <w:rPr>
                <w:rFonts w:hint="eastAsia"/>
                <w:sz w:val="21"/>
                <w:szCs w:val="21"/>
              </w:rPr>
              <w:t>完成日常及特殊污染事件巡查任务，对现场进行拍照取证并提交巡查报告。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28" w:type="pct"/>
            <w:gridSpan w:val="2"/>
            <w:vAlign w:val="center"/>
          </w:tcPr>
          <w:p>
            <w:pPr>
              <w:adjustRightInd w:val="0"/>
              <w:jc w:val="center"/>
              <w:rPr>
                <w:b/>
                <w:sz w:val="21"/>
                <w:szCs w:val="21"/>
              </w:rPr>
            </w:pPr>
            <w:r>
              <w:rPr>
                <w:rFonts w:hint="eastAsia"/>
                <w:b/>
                <w:sz w:val="21"/>
                <w:szCs w:val="21"/>
              </w:rPr>
              <w:t>数据保障组</w:t>
            </w:r>
          </w:p>
        </w:tc>
        <w:tc>
          <w:tcPr>
            <w:tcW w:w="3571" w:type="pct"/>
            <w:vAlign w:val="center"/>
          </w:tcPr>
          <w:p>
            <w:pPr>
              <w:rPr>
                <w:sz w:val="21"/>
                <w:szCs w:val="21"/>
              </w:rPr>
            </w:pPr>
            <w:r>
              <w:rPr>
                <w:rFonts w:hint="eastAsia"/>
                <w:sz w:val="21"/>
                <w:szCs w:val="21"/>
              </w:rPr>
              <w:t>负责现场微型站、高空瞭望系统和便携式设备的校准、调试等工作，保证设备正常运行</w:t>
            </w:r>
          </w:p>
        </w:tc>
      </w:tr>
    </w:tbl>
    <w:p>
      <w:pPr>
        <w:pStyle w:val="26"/>
        <w:spacing w:line="360" w:lineRule="auto"/>
        <w:ind w:left="480" w:firstLine="0"/>
        <w:outlineLvl w:val="1"/>
        <w:rPr>
          <w:b/>
          <w:sz w:val="28"/>
          <w:szCs w:val="24"/>
        </w:rPr>
      </w:pPr>
      <w:bookmarkStart w:id="26" w:name="_Toc21561"/>
      <w:r>
        <w:rPr>
          <w:rFonts w:hint="eastAsia"/>
          <w:b/>
          <w:sz w:val="28"/>
          <w:szCs w:val="24"/>
        </w:rPr>
        <w:t>五、考核标准</w:t>
      </w:r>
      <w:bookmarkEnd w:id="26"/>
    </w:p>
    <w:p>
      <w:pPr>
        <w:autoSpaceDE/>
        <w:autoSpaceDN/>
        <w:spacing w:line="360" w:lineRule="auto"/>
        <w:ind w:firstLine="480" w:firstLineChars="200"/>
        <w:rPr>
          <w:sz w:val="24"/>
          <w:szCs w:val="20"/>
          <w:shd w:val="clear" w:color="auto" w:fill="FFFFFF"/>
        </w:rPr>
      </w:pPr>
      <w:r>
        <w:rPr>
          <w:rFonts w:hint="eastAsia"/>
          <w:sz w:val="24"/>
          <w:szCs w:val="20"/>
          <w:shd w:val="clear" w:color="auto" w:fill="FFFFFF"/>
        </w:rPr>
        <w:t>根据工作目标进行年度考核，满分100分。</w:t>
      </w:r>
    </w:p>
    <w:p>
      <w:pPr>
        <w:autoSpaceDE/>
        <w:autoSpaceDN/>
        <w:spacing w:line="360" w:lineRule="auto"/>
        <w:ind w:firstLine="480" w:firstLineChars="200"/>
        <w:rPr>
          <w:sz w:val="24"/>
          <w:szCs w:val="20"/>
          <w:shd w:val="clear" w:color="auto" w:fill="FFFFFF"/>
        </w:rPr>
      </w:pPr>
      <w:r>
        <w:rPr>
          <w:sz w:val="24"/>
          <w:szCs w:val="20"/>
          <w:shd w:val="clear" w:color="auto" w:fill="FFFFFF"/>
        </w:rPr>
        <w:t>（1）设备正常运转率</w:t>
      </w:r>
      <w:r>
        <w:rPr>
          <w:rFonts w:hint="eastAsia"/>
          <w:sz w:val="24"/>
          <w:szCs w:val="20"/>
          <w:shd w:val="clear" w:color="auto" w:fill="FFFFFF"/>
        </w:rPr>
        <w:t>（按小时为单位）</w:t>
      </w:r>
      <w:r>
        <w:rPr>
          <w:sz w:val="24"/>
          <w:szCs w:val="20"/>
          <w:shd w:val="clear" w:color="auto" w:fill="FFFFFF"/>
        </w:rPr>
        <w:t>达到9</w:t>
      </w:r>
      <w:r>
        <w:rPr>
          <w:rFonts w:hint="eastAsia"/>
          <w:sz w:val="24"/>
          <w:szCs w:val="20"/>
          <w:shd w:val="clear" w:color="auto" w:fill="FFFFFF"/>
        </w:rPr>
        <w:t>5</w:t>
      </w:r>
      <w:r>
        <w:rPr>
          <w:sz w:val="24"/>
          <w:szCs w:val="20"/>
          <w:shd w:val="clear" w:color="auto" w:fill="FFFFFF"/>
        </w:rPr>
        <w:t>%以上</w:t>
      </w:r>
      <w:r>
        <w:rPr>
          <w:rFonts w:hint="eastAsia"/>
          <w:sz w:val="24"/>
          <w:szCs w:val="20"/>
          <w:shd w:val="clear" w:color="auto" w:fill="FFFFFF"/>
        </w:rPr>
        <w:t>不扣分，每低5%扣1分</w:t>
      </w:r>
      <w:r>
        <w:rPr>
          <w:sz w:val="24"/>
          <w:szCs w:val="20"/>
          <w:shd w:val="clear" w:color="auto" w:fill="FFFFFF"/>
        </w:rPr>
        <w:t>；</w:t>
      </w:r>
    </w:p>
    <w:p>
      <w:pPr>
        <w:autoSpaceDE/>
        <w:autoSpaceDN/>
        <w:spacing w:line="360" w:lineRule="auto"/>
        <w:ind w:firstLine="480" w:firstLineChars="200"/>
        <w:rPr>
          <w:sz w:val="24"/>
          <w:szCs w:val="20"/>
          <w:shd w:val="clear" w:color="auto" w:fill="FFFFFF"/>
        </w:rPr>
      </w:pPr>
      <w:r>
        <w:rPr>
          <w:sz w:val="24"/>
          <w:szCs w:val="20"/>
          <w:shd w:val="clear" w:color="auto" w:fill="FFFFFF"/>
        </w:rPr>
        <w:t>（2）设备数据捕获率</w:t>
      </w:r>
      <w:r>
        <w:rPr>
          <w:rFonts w:hint="eastAsia"/>
          <w:sz w:val="24"/>
          <w:szCs w:val="20"/>
          <w:shd w:val="clear" w:color="auto" w:fill="FFFFFF"/>
        </w:rPr>
        <w:t>（按小时为单位）</w:t>
      </w:r>
      <w:r>
        <w:rPr>
          <w:sz w:val="24"/>
          <w:szCs w:val="20"/>
          <w:shd w:val="clear" w:color="auto" w:fill="FFFFFF"/>
        </w:rPr>
        <w:t>达到9</w:t>
      </w:r>
      <w:r>
        <w:rPr>
          <w:rFonts w:hint="eastAsia"/>
          <w:sz w:val="24"/>
          <w:szCs w:val="20"/>
          <w:shd w:val="clear" w:color="auto" w:fill="FFFFFF"/>
        </w:rPr>
        <w:t>5</w:t>
      </w:r>
      <w:r>
        <w:rPr>
          <w:sz w:val="24"/>
          <w:szCs w:val="20"/>
          <w:shd w:val="clear" w:color="auto" w:fill="FFFFFF"/>
        </w:rPr>
        <w:t>%以上</w:t>
      </w:r>
      <w:r>
        <w:rPr>
          <w:rFonts w:hint="eastAsia"/>
          <w:sz w:val="24"/>
          <w:szCs w:val="20"/>
          <w:shd w:val="clear" w:color="auto" w:fill="FFFFFF"/>
        </w:rPr>
        <w:t>，每低5%扣1分</w:t>
      </w:r>
      <w:r>
        <w:rPr>
          <w:sz w:val="24"/>
          <w:szCs w:val="20"/>
          <w:shd w:val="clear" w:color="auto" w:fill="FFFFFF"/>
        </w:rPr>
        <w:t>；</w:t>
      </w:r>
    </w:p>
    <w:p>
      <w:pPr>
        <w:autoSpaceDE/>
        <w:autoSpaceDN/>
        <w:spacing w:line="360" w:lineRule="auto"/>
        <w:ind w:firstLine="480" w:firstLineChars="200"/>
        <w:rPr>
          <w:sz w:val="24"/>
          <w:szCs w:val="20"/>
          <w:shd w:val="clear" w:color="auto" w:fill="FFFFFF"/>
        </w:rPr>
      </w:pPr>
      <w:r>
        <w:rPr>
          <w:sz w:val="24"/>
          <w:szCs w:val="20"/>
          <w:shd w:val="clear" w:color="auto" w:fill="FFFFFF"/>
        </w:rPr>
        <w:t>（</w:t>
      </w:r>
      <w:r>
        <w:rPr>
          <w:rFonts w:hint="eastAsia"/>
          <w:sz w:val="24"/>
          <w:szCs w:val="20"/>
          <w:shd w:val="clear" w:color="auto" w:fill="FFFFFF"/>
        </w:rPr>
        <w:t>3</w:t>
      </w:r>
      <w:r>
        <w:rPr>
          <w:sz w:val="24"/>
          <w:szCs w:val="20"/>
          <w:shd w:val="clear" w:color="auto" w:fill="FFFFFF"/>
        </w:rPr>
        <w:t>）设备数据</w:t>
      </w:r>
      <w:r>
        <w:rPr>
          <w:rFonts w:hint="eastAsia"/>
          <w:sz w:val="24"/>
          <w:szCs w:val="20"/>
          <w:shd w:val="clear" w:color="auto" w:fill="FFFFFF"/>
        </w:rPr>
        <w:t>传输</w:t>
      </w:r>
      <w:r>
        <w:rPr>
          <w:sz w:val="24"/>
          <w:szCs w:val="20"/>
          <w:shd w:val="clear" w:color="auto" w:fill="FFFFFF"/>
        </w:rPr>
        <w:t>率</w:t>
      </w:r>
      <w:r>
        <w:rPr>
          <w:rFonts w:hint="eastAsia"/>
          <w:sz w:val="24"/>
          <w:szCs w:val="20"/>
          <w:shd w:val="clear" w:color="auto" w:fill="FFFFFF"/>
        </w:rPr>
        <w:t>（按小时为单位）</w:t>
      </w:r>
      <w:r>
        <w:rPr>
          <w:sz w:val="24"/>
          <w:szCs w:val="20"/>
          <w:shd w:val="clear" w:color="auto" w:fill="FFFFFF"/>
        </w:rPr>
        <w:t>达到9</w:t>
      </w:r>
      <w:r>
        <w:rPr>
          <w:rFonts w:hint="eastAsia"/>
          <w:sz w:val="24"/>
          <w:szCs w:val="20"/>
          <w:shd w:val="clear" w:color="auto" w:fill="FFFFFF"/>
        </w:rPr>
        <w:t>5</w:t>
      </w:r>
      <w:r>
        <w:rPr>
          <w:sz w:val="24"/>
          <w:szCs w:val="20"/>
          <w:shd w:val="clear" w:color="auto" w:fill="FFFFFF"/>
        </w:rPr>
        <w:t>%以上</w:t>
      </w:r>
      <w:r>
        <w:rPr>
          <w:rFonts w:hint="eastAsia"/>
          <w:sz w:val="24"/>
          <w:szCs w:val="20"/>
          <w:shd w:val="clear" w:color="auto" w:fill="FFFFFF"/>
        </w:rPr>
        <w:t>，每低5%扣1分</w:t>
      </w:r>
      <w:r>
        <w:rPr>
          <w:sz w:val="24"/>
          <w:szCs w:val="20"/>
          <w:shd w:val="clear" w:color="auto" w:fill="FFFFFF"/>
        </w:rPr>
        <w:t>；</w:t>
      </w:r>
    </w:p>
    <w:p>
      <w:pPr>
        <w:autoSpaceDE/>
        <w:autoSpaceDN/>
        <w:spacing w:line="360" w:lineRule="auto"/>
        <w:ind w:firstLine="480" w:firstLineChars="200"/>
        <w:rPr>
          <w:sz w:val="24"/>
          <w:szCs w:val="20"/>
          <w:shd w:val="clear" w:color="auto" w:fill="FFFFFF"/>
        </w:rPr>
      </w:pPr>
      <w:r>
        <w:rPr>
          <w:sz w:val="24"/>
          <w:szCs w:val="20"/>
          <w:shd w:val="clear" w:color="auto" w:fill="FFFFFF"/>
        </w:rPr>
        <w:t>（</w:t>
      </w:r>
      <w:r>
        <w:rPr>
          <w:rFonts w:hint="eastAsia"/>
          <w:sz w:val="24"/>
          <w:szCs w:val="20"/>
          <w:shd w:val="clear" w:color="auto" w:fill="FFFFFF"/>
        </w:rPr>
        <w:t>4</w:t>
      </w:r>
      <w:r>
        <w:rPr>
          <w:sz w:val="24"/>
          <w:szCs w:val="20"/>
          <w:shd w:val="clear" w:color="auto" w:fill="FFFFFF"/>
        </w:rPr>
        <w:t>）设备定期质控抽检准确率</w:t>
      </w:r>
      <w:r>
        <w:rPr>
          <w:rFonts w:hint="eastAsia"/>
          <w:sz w:val="24"/>
          <w:szCs w:val="20"/>
          <w:shd w:val="clear" w:color="auto" w:fill="FFFFFF"/>
        </w:rPr>
        <w:t>（按</w:t>
      </w:r>
      <w:r>
        <w:rPr>
          <w:sz w:val="24"/>
          <w:szCs w:val="20"/>
          <w:shd w:val="clear" w:color="auto" w:fill="FFFFFF"/>
        </w:rPr>
        <w:t>抽检</w:t>
      </w:r>
      <w:r>
        <w:rPr>
          <w:rFonts w:hint="eastAsia"/>
          <w:sz w:val="24"/>
          <w:szCs w:val="20"/>
          <w:shd w:val="clear" w:color="auto" w:fill="FFFFFF"/>
        </w:rPr>
        <w:t>次数为单位）</w:t>
      </w:r>
      <w:r>
        <w:rPr>
          <w:sz w:val="24"/>
          <w:szCs w:val="20"/>
          <w:shd w:val="clear" w:color="auto" w:fill="FFFFFF"/>
        </w:rPr>
        <w:t>达到95%以上</w:t>
      </w:r>
      <w:r>
        <w:rPr>
          <w:rFonts w:hint="eastAsia"/>
          <w:sz w:val="24"/>
          <w:szCs w:val="20"/>
          <w:shd w:val="clear" w:color="auto" w:fill="FFFFFF"/>
        </w:rPr>
        <w:t>，每低5%扣5分</w:t>
      </w:r>
      <w:r>
        <w:rPr>
          <w:sz w:val="24"/>
          <w:szCs w:val="20"/>
          <w:shd w:val="clear" w:color="auto" w:fill="FFFFFF"/>
        </w:rPr>
        <w:t>；</w:t>
      </w:r>
    </w:p>
    <w:p>
      <w:pPr>
        <w:autoSpaceDE/>
        <w:autoSpaceDN/>
        <w:spacing w:line="360" w:lineRule="auto"/>
        <w:ind w:firstLine="480" w:firstLineChars="200"/>
        <w:rPr>
          <w:sz w:val="24"/>
          <w:szCs w:val="20"/>
          <w:shd w:val="clear" w:color="auto" w:fill="FFFFFF"/>
        </w:rPr>
      </w:pPr>
      <w:r>
        <w:rPr>
          <w:sz w:val="24"/>
          <w:szCs w:val="20"/>
          <w:shd w:val="clear" w:color="auto" w:fill="FFFFFF"/>
        </w:rPr>
        <w:t>（</w:t>
      </w:r>
      <w:r>
        <w:rPr>
          <w:rFonts w:hint="eastAsia"/>
          <w:sz w:val="24"/>
          <w:szCs w:val="20"/>
          <w:shd w:val="clear" w:color="auto" w:fill="FFFFFF"/>
        </w:rPr>
        <w:t>5</w:t>
      </w:r>
      <w:r>
        <w:rPr>
          <w:sz w:val="24"/>
          <w:szCs w:val="20"/>
          <w:shd w:val="clear" w:color="auto" w:fill="FFFFFF"/>
        </w:rPr>
        <w:t>）系统异常情况处理率</w:t>
      </w:r>
      <w:r>
        <w:rPr>
          <w:rFonts w:hint="eastAsia"/>
          <w:sz w:val="24"/>
          <w:szCs w:val="20"/>
          <w:shd w:val="clear" w:color="auto" w:fill="FFFFFF"/>
        </w:rPr>
        <w:t>（按</w:t>
      </w:r>
      <w:r>
        <w:rPr>
          <w:sz w:val="24"/>
          <w:szCs w:val="20"/>
          <w:shd w:val="clear" w:color="auto" w:fill="FFFFFF"/>
        </w:rPr>
        <w:t>异常情况</w:t>
      </w:r>
      <w:r>
        <w:rPr>
          <w:rFonts w:hint="eastAsia"/>
          <w:sz w:val="24"/>
          <w:szCs w:val="20"/>
          <w:shd w:val="clear" w:color="auto" w:fill="FFFFFF"/>
        </w:rPr>
        <w:t>发生和处理次数为单位）</w:t>
      </w:r>
      <w:r>
        <w:rPr>
          <w:sz w:val="24"/>
          <w:szCs w:val="20"/>
          <w:shd w:val="clear" w:color="auto" w:fill="FFFFFF"/>
        </w:rPr>
        <w:t>达到100%</w:t>
      </w:r>
      <w:r>
        <w:rPr>
          <w:rFonts w:hint="eastAsia"/>
          <w:sz w:val="24"/>
          <w:szCs w:val="20"/>
          <w:shd w:val="clear" w:color="auto" w:fill="FFFFFF"/>
        </w:rPr>
        <w:t>，每低1%扣1分</w:t>
      </w:r>
      <w:r>
        <w:rPr>
          <w:sz w:val="24"/>
          <w:szCs w:val="20"/>
          <w:shd w:val="clear" w:color="auto" w:fill="FFFFFF"/>
        </w:rPr>
        <w:t>。</w:t>
      </w:r>
    </w:p>
    <w:p>
      <w:pPr>
        <w:autoSpaceDE/>
        <w:autoSpaceDN/>
        <w:spacing w:line="360" w:lineRule="auto"/>
        <w:ind w:firstLine="480" w:firstLineChars="200"/>
        <w:rPr>
          <w:sz w:val="24"/>
          <w:szCs w:val="21"/>
        </w:rPr>
      </w:pPr>
      <w:r>
        <w:rPr>
          <w:rFonts w:hint="eastAsia"/>
          <w:sz w:val="24"/>
          <w:szCs w:val="20"/>
          <w:shd w:val="clear" w:color="auto" w:fill="FFFFFF"/>
        </w:rPr>
        <w:t>整体考核得分计算方法：按各系统单项得分进行加权平均，确定整体考核得分，后期根据考核得分情况进行付款。</w:t>
      </w:r>
    </w:p>
    <w:p>
      <w:pPr>
        <w:pStyle w:val="26"/>
        <w:spacing w:line="360" w:lineRule="auto"/>
        <w:ind w:left="480" w:firstLine="0"/>
        <w:outlineLvl w:val="1"/>
        <w:rPr>
          <w:b/>
          <w:sz w:val="28"/>
          <w:szCs w:val="24"/>
        </w:rPr>
      </w:pPr>
      <w:bookmarkStart w:id="27" w:name="_Toc12268"/>
      <w:r>
        <w:rPr>
          <w:rFonts w:hint="eastAsia"/>
          <w:b/>
          <w:sz w:val="28"/>
          <w:szCs w:val="24"/>
        </w:rPr>
        <w:t>六、其他要求</w:t>
      </w:r>
      <w:bookmarkEnd w:id="27"/>
    </w:p>
    <w:p>
      <w:pPr>
        <w:wordWrap w:val="0"/>
        <w:topLinePunct/>
        <w:autoSpaceDE/>
        <w:autoSpaceDN/>
        <w:spacing w:line="360" w:lineRule="auto"/>
        <w:ind w:firstLine="480" w:firstLineChars="200"/>
        <w:rPr>
          <w:sz w:val="24"/>
          <w:szCs w:val="21"/>
          <w:lang w:bidi="ar"/>
        </w:rPr>
      </w:pPr>
      <w:r>
        <w:rPr>
          <w:rFonts w:hint="eastAsia"/>
          <w:sz w:val="24"/>
          <w:szCs w:val="21"/>
        </w:rPr>
        <w:t>6.1</w:t>
      </w:r>
      <w:r>
        <w:rPr>
          <w:rFonts w:hint="eastAsia"/>
          <w:sz w:val="24"/>
        </w:rPr>
        <w:t>大气环境物联监测网络</w:t>
      </w:r>
      <w:r>
        <w:rPr>
          <w:rFonts w:hint="eastAsia"/>
          <w:sz w:val="24"/>
          <w:szCs w:val="21"/>
          <w:lang w:bidi="ar"/>
        </w:rPr>
        <w:t>建设服务要求：</w:t>
      </w:r>
    </w:p>
    <w:p>
      <w:pPr>
        <w:numPr>
          <w:ilvl w:val="0"/>
          <w:numId w:val="7"/>
        </w:numPr>
        <w:wordWrap w:val="0"/>
        <w:topLinePunct/>
        <w:autoSpaceDE/>
        <w:autoSpaceDN/>
        <w:spacing w:line="360" w:lineRule="auto"/>
        <w:ind w:firstLine="480" w:firstLineChars="200"/>
        <w:rPr>
          <w:sz w:val="24"/>
          <w:szCs w:val="21"/>
          <w:lang w:bidi="ar"/>
        </w:rPr>
      </w:pPr>
      <w:r>
        <w:rPr>
          <w:rFonts w:hint="eastAsia"/>
          <w:sz w:val="24"/>
          <w:szCs w:val="21"/>
          <w:lang w:bidi="ar"/>
        </w:rPr>
        <w:t>建设周期：合同签订后20日历天内完成建设工作；</w:t>
      </w:r>
    </w:p>
    <w:p>
      <w:pPr>
        <w:numPr>
          <w:ilvl w:val="0"/>
          <w:numId w:val="7"/>
        </w:numPr>
        <w:wordWrap w:val="0"/>
        <w:topLinePunct/>
        <w:autoSpaceDE/>
        <w:autoSpaceDN/>
        <w:spacing w:line="360" w:lineRule="auto"/>
        <w:ind w:firstLine="480" w:firstLineChars="200"/>
        <w:rPr>
          <w:sz w:val="24"/>
          <w:szCs w:val="21"/>
        </w:rPr>
      </w:pPr>
      <w:r>
        <w:rPr>
          <w:rFonts w:hint="eastAsia"/>
          <w:sz w:val="24"/>
          <w:szCs w:val="21"/>
        </w:rPr>
        <w:t>服务期：租赁设备并购买数据服务3年；</w:t>
      </w:r>
    </w:p>
    <w:p>
      <w:pPr>
        <w:numPr>
          <w:ilvl w:val="0"/>
          <w:numId w:val="7"/>
        </w:numPr>
        <w:wordWrap w:val="0"/>
        <w:topLinePunct/>
        <w:autoSpaceDE/>
        <w:autoSpaceDN/>
        <w:spacing w:line="360" w:lineRule="auto"/>
        <w:ind w:firstLine="480" w:firstLineChars="200"/>
        <w:rPr>
          <w:sz w:val="24"/>
          <w:szCs w:val="21"/>
        </w:rPr>
      </w:pPr>
      <w:r>
        <w:rPr>
          <w:rFonts w:hint="eastAsia"/>
          <w:sz w:val="24"/>
          <w:szCs w:val="21"/>
        </w:rPr>
        <w:t>服务期间，设备所有权归投标方所有，招标方只购买数据服务。</w:t>
      </w:r>
    </w:p>
    <w:p>
      <w:pPr>
        <w:wordWrap w:val="0"/>
        <w:topLinePunct/>
        <w:autoSpaceDE/>
        <w:autoSpaceDN/>
        <w:spacing w:line="360" w:lineRule="auto"/>
        <w:ind w:firstLine="480" w:firstLineChars="200"/>
        <w:rPr>
          <w:sz w:val="24"/>
          <w:szCs w:val="21"/>
        </w:rPr>
      </w:pPr>
      <w:r>
        <w:rPr>
          <w:rFonts w:hint="eastAsia"/>
          <w:sz w:val="24"/>
          <w:szCs w:val="21"/>
        </w:rPr>
        <w:t>6.2 点位选址要求：</w:t>
      </w:r>
    </w:p>
    <w:p>
      <w:pPr>
        <w:wordWrap w:val="0"/>
        <w:topLinePunct/>
        <w:autoSpaceDE/>
        <w:autoSpaceDN/>
        <w:spacing w:line="360" w:lineRule="auto"/>
        <w:ind w:firstLine="480" w:firstLineChars="200"/>
        <w:rPr>
          <w:color w:val="FF0000"/>
          <w:sz w:val="24"/>
          <w:szCs w:val="21"/>
        </w:rPr>
      </w:pPr>
      <w:r>
        <w:rPr>
          <w:rFonts w:hint="eastAsia"/>
          <w:bCs/>
          <w:sz w:val="24"/>
          <w:szCs w:val="24"/>
        </w:rPr>
        <w:t>（1）南阳市以城区空气质量监测为重点，在重点区域周边、重点企业、交通道路、餐饮集聚区、建筑工地等布设监测设备。计划布设七参数微型站119套，两参数微型站60套，共计179套微型站点位（后期可根据需要调整）</w:t>
      </w:r>
      <w:r>
        <w:rPr>
          <w:rFonts w:hint="eastAsia"/>
          <w:color w:val="FF0000"/>
          <w:sz w:val="24"/>
          <w:szCs w:val="21"/>
        </w:rPr>
        <w:t>；</w:t>
      </w:r>
    </w:p>
    <w:p>
      <w:pPr>
        <w:tabs>
          <w:tab w:val="left" w:pos="6105"/>
        </w:tabs>
        <w:wordWrap w:val="0"/>
        <w:topLinePunct/>
        <w:autoSpaceDE/>
        <w:autoSpaceDN/>
        <w:spacing w:line="360" w:lineRule="auto"/>
        <w:ind w:firstLine="480" w:firstLineChars="200"/>
        <w:rPr>
          <w:bCs/>
          <w:sz w:val="24"/>
          <w:szCs w:val="24"/>
        </w:rPr>
      </w:pPr>
      <w:r>
        <w:rPr>
          <w:rFonts w:hint="eastAsia"/>
          <w:bCs/>
          <w:sz w:val="24"/>
          <w:szCs w:val="24"/>
        </w:rPr>
        <w:t>（2）以环境空气质量评价点为中心，对其周边0.5公里范围内的东、南、西、北4个方向，及1公里范围内的东北、东南、西北、西南4个方向分别进行污染情况监控。每个评价点位周边架设8套多参数微型站（监测参数为PM2.5、PM10、SO2、NO2、CO、O3、TVOC），南阳市国控点有5个，优化组合预计布设点位40套；</w:t>
      </w:r>
    </w:p>
    <w:p>
      <w:pPr>
        <w:pStyle w:val="2"/>
        <w:wordWrap w:val="0"/>
        <w:topLinePunct/>
        <w:autoSpaceDE/>
        <w:autoSpaceDN/>
        <w:spacing w:after="0" w:line="360" w:lineRule="auto"/>
        <w:ind w:left="0" w:leftChars="0" w:firstLine="480" w:firstLineChars="200"/>
        <w:rPr>
          <w:rFonts w:ascii="宋体" w:hAnsi="宋体"/>
          <w:bCs/>
          <w:kern w:val="0"/>
          <w:sz w:val="24"/>
        </w:rPr>
      </w:pPr>
      <w:r>
        <w:rPr>
          <w:rFonts w:hint="eastAsia" w:ascii="宋体" w:hAnsi="宋体"/>
          <w:bCs/>
          <w:kern w:val="0"/>
          <w:sz w:val="24"/>
        </w:rPr>
        <w:t>（3）在环境空气质量监控网格基础上，针对城市重要交通路口、重要交通枢纽（汽车站，公交站，火车站等）以及易拥堵的距离省控点近的路段布设微型站，布设设备选择七参数微型站。结合南阳市实际情况，共布设点位29套；</w:t>
      </w:r>
    </w:p>
    <w:p>
      <w:pPr>
        <w:pStyle w:val="2"/>
        <w:wordWrap w:val="0"/>
        <w:topLinePunct/>
        <w:autoSpaceDE/>
        <w:autoSpaceDN/>
        <w:spacing w:after="0" w:line="360" w:lineRule="auto"/>
        <w:ind w:left="0" w:leftChars="0" w:firstLine="480" w:firstLineChars="200"/>
        <w:rPr>
          <w:rFonts w:ascii="宋体" w:hAnsi="宋体"/>
          <w:bCs/>
          <w:kern w:val="0"/>
          <w:sz w:val="24"/>
        </w:rPr>
      </w:pPr>
      <w:r>
        <w:rPr>
          <w:rFonts w:hint="eastAsia" w:ascii="宋体" w:hAnsi="宋体"/>
          <w:bCs/>
          <w:kern w:val="0"/>
          <w:sz w:val="24"/>
        </w:rPr>
        <w:t>（4）根据南阳市建筑工地面积大小，按以下原则进行布设，针对3万平米以下的小型建筑工地，在工地边界的上下风向处分别布设1套颗粒物微型站；针对3万-5万平米的建筑工地，在工地边界的东北、东南、西北、西南4个角分别布设1套颗粒物微型站；针对5万平米以上的大型建筑工地，按照施工面积和施工阶段进行分解优化布设；针对地铁口及道路工地等，布设1-2套颗粒物微型站。根据各工地不同的施工阶段，点位可根据实际情况进行调整。预估布设颗粒物微站（PM10、PM2.5）60套；</w:t>
      </w:r>
    </w:p>
    <w:p>
      <w:pPr>
        <w:pStyle w:val="2"/>
        <w:wordWrap w:val="0"/>
        <w:topLinePunct/>
        <w:autoSpaceDE/>
        <w:autoSpaceDN/>
        <w:spacing w:after="0" w:line="360" w:lineRule="auto"/>
        <w:ind w:left="0" w:leftChars="0" w:firstLine="480" w:firstLineChars="200"/>
        <w:rPr>
          <w:rFonts w:ascii="宋体" w:hAnsi="宋体"/>
          <w:color w:val="121212"/>
          <w:kern w:val="0"/>
          <w:sz w:val="24"/>
          <w:shd w:val="clear" w:color="auto" w:fill="FFFFFF"/>
        </w:rPr>
      </w:pPr>
      <w:r>
        <w:rPr>
          <w:rFonts w:hint="eastAsia" w:ascii="宋体" w:hAnsi="宋体"/>
          <w:bCs/>
          <w:kern w:val="0"/>
          <w:sz w:val="24"/>
        </w:rPr>
        <w:t>（5）</w:t>
      </w:r>
      <w:r>
        <w:rPr>
          <w:rFonts w:hint="eastAsia" w:ascii="宋体" w:hAnsi="宋体"/>
          <w:color w:val="121212"/>
          <w:kern w:val="0"/>
          <w:sz w:val="24"/>
          <w:shd w:val="clear" w:color="auto" w:fill="FFFFFF"/>
        </w:rPr>
        <w:t>根据南阳市污染物排放大户、城区风向等原则，在南阳市主要企业周边布设七参数微型站，以监管企业的污染排放水平。为兼顾各企业情况以及节约成本开支，拟选取南阳市重点区域周边重点企业及上风向企业（热电、</w:t>
      </w:r>
      <w:r>
        <w:rPr>
          <w:rFonts w:hint="eastAsia" w:ascii="宋体" w:hAnsi="宋体"/>
          <w:color w:val="121212"/>
          <w:kern w:val="0"/>
          <w:sz w:val="24"/>
          <w:shd w:val="clear" w:color="auto" w:fill="FFFFFF"/>
          <w:lang w:val="en-US"/>
        </w:rPr>
        <w:t>砖瓦窑</w:t>
      </w:r>
      <w:r>
        <w:rPr>
          <w:rFonts w:hint="eastAsia" w:ascii="宋体" w:hAnsi="宋体"/>
          <w:color w:val="121212"/>
          <w:kern w:val="0"/>
          <w:sz w:val="24"/>
          <w:shd w:val="clear" w:color="auto" w:fill="FFFFFF"/>
        </w:rPr>
        <w:t>以及水泥厂等），选择在</w:t>
      </w:r>
      <w:r>
        <w:rPr>
          <w:rFonts w:hint="eastAsia" w:ascii="宋体" w:hAnsi="宋体"/>
          <w:color w:val="121212"/>
          <w:kern w:val="0"/>
          <w:sz w:val="24"/>
          <w:shd w:val="clear" w:color="auto" w:fill="FFFFFF"/>
          <w:lang w:val="en-US"/>
        </w:rPr>
        <w:t>企业附近</w:t>
      </w:r>
      <w:r>
        <w:rPr>
          <w:rFonts w:hint="eastAsia" w:ascii="宋体" w:hAnsi="宋体"/>
          <w:color w:val="121212"/>
          <w:kern w:val="0"/>
          <w:sz w:val="24"/>
          <w:shd w:val="clear" w:color="auto" w:fill="FFFFFF"/>
        </w:rPr>
        <w:t>建立，预计布设点位16套；</w:t>
      </w:r>
    </w:p>
    <w:p>
      <w:pPr>
        <w:pStyle w:val="2"/>
        <w:wordWrap w:val="0"/>
        <w:topLinePunct/>
        <w:autoSpaceDE/>
        <w:autoSpaceDN/>
        <w:spacing w:after="0" w:line="360" w:lineRule="auto"/>
        <w:ind w:left="0" w:leftChars="0" w:firstLine="480" w:firstLineChars="200"/>
        <w:rPr>
          <w:rFonts w:ascii="宋体" w:hAnsi="宋体"/>
          <w:color w:val="121212"/>
          <w:kern w:val="0"/>
          <w:sz w:val="24"/>
          <w:shd w:val="clear" w:color="auto" w:fill="FFFFFF"/>
        </w:rPr>
      </w:pPr>
      <w:r>
        <w:rPr>
          <w:rFonts w:hint="eastAsia" w:ascii="宋体" w:hAnsi="宋体"/>
          <w:color w:val="121212"/>
          <w:kern w:val="0"/>
          <w:sz w:val="24"/>
          <w:shd w:val="clear" w:color="auto" w:fill="FFFFFF"/>
        </w:rPr>
        <w:t>（6）将南阳市</w:t>
      </w:r>
      <w:r>
        <w:rPr>
          <w:rFonts w:hint="eastAsia" w:ascii="宋体" w:hAnsi="宋体"/>
          <w:color w:val="121212"/>
          <w:kern w:val="0"/>
          <w:sz w:val="24"/>
          <w:shd w:val="clear" w:color="auto" w:fill="FFFFFF"/>
          <w:lang w:val="en-US"/>
        </w:rPr>
        <w:t>新能源产业集聚区和南阳市光电产业集聚区进行</w:t>
      </w:r>
      <w:r>
        <w:rPr>
          <w:rFonts w:hint="eastAsia" w:ascii="宋体" w:hAnsi="宋体"/>
          <w:color w:val="121212"/>
          <w:kern w:val="0"/>
          <w:sz w:val="24"/>
          <w:shd w:val="clear" w:color="auto" w:fill="FFFFFF"/>
        </w:rPr>
        <w:t>布点监控，将整个园区监测区域均匀划分成若干监测网格，在每个网格的交线上放置七参数微型站（PM10、PM2.5、SO2、NO2、CO、O3、VOC），兼顾园区内主要道路情况，考虑到两个</w:t>
      </w:r>
      <w:r>
        <w:rPr>
          <w:rFonts w:hint="eastAsia" w:ascii="宋体" w:hAnsi="宋体"/>
          <w:color w:val="121212"/>
          <w:kern w:val="0"/>
          <w:sz w:val="24"/>
          <w:shd w:val="clear" w:color="auto" w:fill="FFFFFF"/>
          <w:lang w:val="en-US"/>
        </w:rPr>
        <w:t>园区</w:t>
      </w:r>
      <w:r>
        <w:rPr>
          <w:rFonts w:hint="eastAsia" w:ascii="宋体" w:hAnsi="宋体"/>
          <w:color w:val="121212"/>
          <w:kern w:val="0"/>
          <w:sz w:val="24"/>
          <w:shd w:val="clear" w:color="auto" w:fill="FFFFFF"/>
        </w:rPr>
        <w:t>已布设六参数标准站，拟在南阳市</w:t>
      </w:r>
      <w:r>
        <w:rPr>
          <w:rFonts w:hint="eastAsia" w:ascii="宋体" w:hAnsi="宋体"/>
          <w:color w:val="121212"/>
          <w:kern w:val="0"/>
          <w:sz w:val="24"/>
          <w:shd w:val="clear" w:color="auto" w:fill="FFFFFF"/>
          <w:lang w:val="en-US"/>
        </w:rPr>
        <w:t>新能源产业集聚区</w:t>
      </w:r>
      <w:r>
        <w:rPr>
          <w:rFonts w:hint="eastAsia" w:ascii="宋体" w:hAnsi="宋体"/>
          <w:color w:val="121212"/>
          <w:kern w:val="0"/>
          <w:sz w:val="24"/>
          <w:shd w:val="clear" w:color="auto" w:fill="FFFFFF"/>
        </w:rPr>
        <w:t>布设10个七参数微站，</w:t>
      </w:r>
      <w:r>
        <w:rPr>
          <w:rFonts w:hint="eastAsia" w:ascii="宋体" w:hAnsi="宋体"/>
          <w:color w:val="121212"/>
          <w:kern w:val="0"/>
          <w:sz w:val="24"/>
          <w:shd w:val="clear" w:color="auto" w:fill="FFFFFF"/>
          <w:lang w:val="en-US"/>
        </w:rPr>
        <w:t>南阳市光电产业集聚区</w:t>
      </w:r>
      <w:r>
        <w:rPr>
          <w:rFonts w:hint="eastAsia" w:ascii="宋体" w:hAnsi="宋体"/>
          <w:color w:val="121212"/>
          <w:kern w:val="0"/>
          <w:sz w:val="24"/>
          <w:shd w:val="clear" w:color="auto" w:fill="FFFFFF"/>
        </w:rPr>
        <w:t>布设8个七参数微站；</w:t>
      </w:r>
    </w:p>
    <w:p>
      <w:pPr>
        <w:pStyle w:val="2"/>
        <w:wordWrap w:val="0"/>
        <w:topLinePunct/>
        <w:autoSpaceDE/>
        <w:autoSpaceDN/>
        <w:spacing w:after="0" w:line="360" w:lineRule="auto"/>
        <w:ind w:left="0" w:leftChars="0" w:firstLine="480" w:firstLineChars="200"/>
        <w:rPr>
          <w:rFonts w:ascii="宋体" w:hAnsi="宋体"/>
          <w:color w:val="121212"/>
          <w:kern w:val="0"/>
          <w:sz w:val="24"/>
          <w:shd w:val="clear" w:color="auto" w:fill="FFFFFF"/>
        </w:rPr>
      </w:pPr>
      <w:r>
        <w:rPr>
          <w:rFonts w:hint="eastAsia" w:ascii="宋体" w:hAnsi="宋体"/>
          <w:color w:val="121212"/>
          <w:kern w:val="0"/>
          <w:sz w:val="24"/>
          <w:shd w:val="clear" w:color="auto" w:fill="FFFFFF"/>
        </w:rPr>
        <w:t>（7）</w:t>
      </w:r>
      <w:r>
        <w:rPr>
          <w:rFonts w:hint="eastAsia" w:ascii="宋体" w:hAnsi="宋体"/>
          <w:kern w:val="0"/>
          <w:sz w:val="24"/>
        </w:rPr>
        <w:t>生活源中贡献最大的是餐饮业，拟在南阳市餐饮</w:t>
      </w:r>
      <w:r>
        <w:rPr>
          <w:rFonts w:hint="eastAsia" w:ascii="宋体" w:hAnsi="宋体"/>
          <w:kern w:val="0"/>
          <w:sz w:val="24"/>
          <w:lang w:val="en-US"/>
        </w:rPr>
        <w:t>集中区域</w:t>
      </w:r>
      <w:r>
        <w:rPr>
          <w:rFonts w:hint="eastAsia" w:ascii="宋体" w:hAnsi="宋体"/>
          <w:kern w:val="0"/>
          <w:sz w:val="24"/>
        </w:rPr>
        <w:t>布设七参数微型站，共计16套；</w:t>
      </w:r>
    </w:p>
    <w:p>
      <w:pPr>
        <w:wordWrap w:val="0"/>
        <w:topLinePunct/>
        <w:autoSpaceDE/>
        <w:autoSpaceDN/>
        <w:spacing w:line="360" w:lineRule="auto"/>
        <w:ind w:firstLine="480" w:firstLineChars="200"/>
        <w:rPr>
          <w:sz w:val="24"/>
          <w:szCs w:val="21"/>
        </w:rPr>
      </w:pPr>
      <w:r>
        <w:rPr>
          <w:rFonts w:hint="eastAsia"/>
          <w:sz w:val="24"/>
          <w:szCs w:val="21"/>
        </w:rPr>
        <w:t>6.</w:t>
      </w:r>
      <w:r>
        <w:rPr>
          <w:rFonts w:hint="eastAsia"/>
          <w:sz w:val="24"/>
          <w:szCs w:val="21"/>
          <w:lang w:val="en-US"/>
        </w:rPr>
        <w:t>3专家团队</w:t>
      </w:r>
      <w:r>
        <w:rPr>
          <w:rFonts w:hint="eastAsia"/>
          <w:sz w:val="24"/>
          <w:szCs w:val="21"/>
        </w:rPr>
        <w:t>咨询服务：须严格按照服务次数执行工作，服务期限3年；</w:t>
      </w:r>
    </w:p>
    <w:p>
      <w:pPr>
        <w:wordWrap w:val="0"/>
        <w:topLinePunct/>
        <w:autoSpaceDE/>
        <w:autoSpaceDN/>
        <w:spacing w:line="360" w:lineRule="auto"/>
        <w:ind w:firstLine="480" w:firstLineChars="200"/>
        <w:rPr>
          <w:rFonts w:ascii="Times New Roman" w:hAnsi="Times New Roman" w:cs="Times New Roman"/>
          <w:sz w:val="32"/>
          <w:szCs w:val="24"/>
        </w:rPr>
      </w:pPr>
      <w:r>
        <w:rPr>
          <w:rFonts w:hint="eastAsia"/>
          <w:sz w:val="24"/>
          <w:szCs w:val="21"/>
        </w:rPr>
        <w:t>6.</w:t>
      </w:r>
      <w:r>
        <w:rPr>
          <w:rFonts w:hint="eastAsia"/>
          <w:sz w:val="24"/>
          <w:szCs w:val="21"/>
          <w:lang w:val="en-US"/>
        </w:rPr>
        <w:t>4</w:t>
      </w:r>
      <w:r>
        <w:rPr>
          <w:rFonts w:hint="eastAsia"/>
          <w:sz w:val="24"/>
          <w:szCs w:val="21"/>
        </w:rPr>
        <w:t>除采购需求服务内容外，项目执行过程中甲方不再支付其他任何费用。</w:t>
      </w:r>
    </w:p>
    <w:p>
      <w:pPr>
        <w:rPr>
          <w:rFonts w:ascii="Times New Roman" w:hAnsi="Times New Roman" w:cs="Times New Roman"/>
          <w:b/>
          <w:sz w:val="24"/>
          <w:szCs w:val="24"/>
        </w:rPr>
        <w:sectPr>
          <w:pgSz w:w="11910" w:h="16840"/>
          <w:pgMar w:top="1361" w:right="1417" w:bottom="1361" w:left="1417" w:header="0" w:footer="913" w:gutter="0"/>
          <w:cols w:space="425" w:num="1"/>
        </w:sectPr>
      </w:pPr>
      <w:r>
        <w:rPr>
          <w:rFonts w:hint="eastAsia" w:ascii="Times New Roman" w:hAnsi="Times New Roman" w:cs="Times New Roman"/>
          <w:b/>
          <w:sz w:val="24"/>
          <w:szCs w:val="24"/>
        </w:rPr>
        <w:br w:type="page"/>
      </w:r>
    </w:p>
    <w:p>
      <w:pPr>
        <w:pStyle w:val="4"/>
        <w:tabs>
          <w:tab w:val="left" w:pos="1204"/>
        </w:tabs>
        <w:ind w:left="0" w:right="1"/>
      </w:pPr>
      <w:bookmarkStart w:id="28" w:name="_Toc30211"/>
      <w:r>
        <w:t>第六章</w:t>
      </w:r>
      <w:r>
        <w:tab/>
      </w:r>
      <w:r>
        <w:t>投标文件格式</w:t>
      </w:r>
      <w:bookmarkEnd w:id="28"/>
    </w:p>
    <w:p>
      <w:pPr>
        <w:pStyle w:val="8"/>
        <w:rPr>
          <w:b/>
          <w:sz w:val="20"/>
        </w:rPr>
      </w:pPr>
    </w:p>
    <w:p>
      <w:pPr>
        <w:pStyle w:val="8"/>
        <w:rPr>
          <w:b/>
          <w:sz w:val="20"/>
        </w:rPr>
      </w:pPr>
    </w:p>
    <w:p>
      <w:pPr>
        <w:pStyle w:val="8"/>
        <w:spacing w:before="10"/>
        <w:rPr>
          <w:b/>
          <w:sz w:val="19"/>
        </w:rPr>
      </w:pPr>
    </w:p>
    <w:p>
      <w:pPr>
        <w:tabs>
          <w:tab w:val="left" w:pos="5789"/>
        </w:tabs>
        <w:spacing w:before="61"/>
        <w:ind w:left="724"/>
        <w:jc w:val="center"/>
        <w:rPr>
          <w:b/>
          <w:sz w:val="36"/>
        </w:rPr>
      </w:pPr>
      <w:r>
        <w:rPr>
          <w:rFonts w:ascii="Times New Roman" w:eastAsia="Times New Roman"/>
          <w:b/>
          <w:sz w:val="36"/>
          <w:u w:val="single"/>
        </w:rPr>
        <w:t xml:space="preserve"> </w:t>
      </w:r>
      <w:r>
        <w:rPr>
          <w:rFonts w:ascii="Times New Roman" w:eastAsia="Times New Roman"/>
          <w:b/>
          <w:sz w:val="36"/>
          <w:u w:val="single"/>
        </w:rPr>
        <w:tab/>
      </w:r>
      <w:r>
        <w:rPr>
          <w:b/>
          <w:spacing w:val="40"/>
          <w:sz w:val="36"/>
        </w:rPr>
        <w:t>（项目名称</w:t>
      </w:r>
      <w:r>
        <w:rPr>
          <w:b/>
          <w:sz w:val="36"/>
        </w:rPr>
        <w:t>）</w:t>
      </w:r>
      <w:r>
        <w:rPr>
          <w:b/>
          <w:spacing w:val="-141"/>
          <w:sz w:val="36"/>
        </w:rPr>
        <w:t xml:space="preserve"> </w:t>
      </w:r>
    </w:p>
    <w:p>
      <w:pPr>
        <w:pStyle w:val="8"/>
        <w:rPr>
          <w:b/>
          <w:sz w:val="40"/>
        </w:rPr>
      </w:pPr>
    </w:p>
    <w:p>
      <w:pPr>
        <w:pStyle w:val="8"/>
        <w:spacing w:before="10"/>
        <w:rPr>
          <w:b/>
          <w:sz w:val="39"/>
        </w:rPr>
      </w:pPr>
    </w:p>
    <w:p>
      <w:pPr>
        <w:tabs>
          <w:tab w:val="left" w:pos="3252"/>
        </w:tabs>
        <w:ind w:right="5"/>
        <w:jc w:val="center"/>
        <w:rPr>
          <w:b/>
          <w:sz w:val="72"/>
        </w:rPr>
      </w:pPr>
      <w:r>
        <w:rPr>
          <w:b/>
          <w:sz w:val="72"/>
        </w:rPr>
        <w:t>投</w:t>
      </w:r>
      <w:r>
        <w:rPr>
          <w:b/>
          <w:spacing w:val="-4"/>
          <w:sz w:val="72"/>
        </w:rPr>
        <w:t xml:space="preserve"> </w:t>
      </w:r>
      <w:r>
        <w:rPr>
          <w:b/>
          <w:sz w:val="72"/>
        </w:rPr>
        <w:t>标</w:t>
      </w:r>
      <w:r>
        <w:rPr>
          <w:b/>
          <w:spacing w:val="1"/>
          <w:sz w:val="72"/>
        </w:rPr>
        <w:t xml:space="preserve"> </w:t>
      </w:r>
      <w:r>
        <w:rPr>
          <w:b/>
          <w:sz w:val="72"/>
        </w:rPr>
        <w:t>文</w:t>
      </w:r>
      <w:r>
        <w:rPr>
          <w:b/>
          <w:sz w:val="72"/>
        </w:rPr>
        <w:tab/>
      </w:r>
      <w:r>
        <w:rPr>
          <w:b/>
          <w:sz w:val="72"/>
        </w:rPr>
        <w:t>件</w:t>
      </w:r>
    </w:p>
    <w:p>
      <w:pPr>
        <w:spacing w:before="142"/>
        <w:ind w:left="334" w:right="1820"/>
        <w:jc w:val="center"/>
        <w:rPr>
          <w:b/>
          <w:sz w:val="28"/>
        </w:rPr>
      </w:pPr>
      <w:r>
        <w:rPr>
          <w:b/>
          <w:sz w:val="28"/>
        </w:rPr>
        <w:t>项目编号：</w:t>
      </w:r>
    </w:p>
    <w:p>
      <w:pPr>
        <w:pStyle w:val="8"/>
        <w:rPr>
          <w:b/>
          <w:sz w:val="28"/>
        </w:rPr>
      </w:pPr>
    </w:p>
    <w:p>
      <w:pPr>
        <w:pStyle w:val="8"/>
        <w:rPr>
          <w:b/>
          <w:sz w:val="28"/>
        </w:rPr>
      </w:pPr>
    </w:p>
    <w:p>
      <w:pPr>
        <w:pStyle w:val="8"/>
        <w:rPr>
          <w:b/>
          <w:sz w:val="28"/>
        </w:rPr>
      </w:pPr>
    </w:p>
    <w:p>
      <w:pPr>
        <w:pStyle w:val="8"/>
        <w:rPr>
          <w:b/>
          <w:sz w:val="28"/>
        </w:rPr>
      </w:pPr>
    </w:p>
    <w:p>
      <w:pPr>
        <w:pStyle w:val="8"/>
        <w:rPr>
          <w:b/>
          <w:sz w:val="28"/>
        </w:rPr>
      </w:pPr>
    </w:p>
    <w:p>
      <w:pPr>
        <w:pStyle w:val="8"/>
        <w:rPr>
          <w:b/>
          <w:sz w:val="28"/>
        </w:rPr>
      </w:pPr>
    </w:p>
    <w:p>
      <w:pPr>
        <w:pStyle w:val="8"/>
        <w:rPr>
          <w:b/>
          <w:sz w:val="28"/>
        </w:rPr>
      </w:pPr>
    </w:p>
    <w:p>
      <w:pPr>
        <w:pStyle w:val="8"/>
        <w:rPr>
          <w:b/>
          <w:sz w:val="28"/>
        </w:rPr>
      </w:pPr>
    </w:p>
    <w:p>
      <w:pPr>
        <w:pStyle w:val="8"/>
        <w:rPr>
          <w:b/>
          <w:sz w:val="28"/>
        </w:rPr>
      </w:pPr>
    </w:p>
    <w:p>
      <w:pPr>
        <w:pStyle w:val="8"/>
        <w:rPr>
          <w:b/>
          <w:sz w:val="28"/>
        </w:rPr>
      </w:pPr>
    </w:p>
    <w:p>
      <w:pPr>
        <w:pStyle w:val="8"/>
        <w:rPr>
          <w:b/>
          <w:sz w:val="28"/>
        </w:rPr>
      </w:pPr>
    </w:p>
    <w:p>
      <w:pPr>
        <w:pStyle w:val="8"/>
        <w:rPr>
          <w:b/>
          <w:sz w:val="28"/>
        </w:rPr>
      </w:pPr>
    </w:p>
    <w:p>
      <w:pPr>
        <w:pStyle w:val="8"/>
        <w:rPr>
          <w:b/>
          <w:sz w:val="28"/>
        </w:rPr>
      </w:pPr>
    </w:p>
    <w:p>
      <w:pPr>
        <w:pStyle w:val="8"/>
        <w:spacing w:line="360" w:lineRule="auto"/>
        <w:jc w:val="center"/>
        <w:rPr>
          <w:b/>
          <w:sz w:val="28"/>
        </w:rPr>
      </w:pPr>
      <w:r>
        <w:rPr>
          <w:rFonts w:hint="eastAsia"/>
          <w:b/>
          <w:sz w:val="28"/>
        </w:rPr>
        <w:t>投 标 单 位：</w:t>
      </w:r>
      <w:r>
        <w:rPr>
          <w:rFonts w:hint="eastAsia"/>
          <w:b/>
          <w:sz w:val="28"/>
          <w:lang w:val="en-US"/>
        </w:rPr>
        <w:t xml:space="preserve"> </w:t>
      </w:r>
      <w:r>
        <w:rPr>
          <w:rFonts w:hint="eastAsia"/>
          <w:b/>
          <w:sz w:val="28"/>
          <w:u w:val="single"/>
          <w:lang w:val="en-US"/>
        </w:rPr>
        <w:t xml:space="preserve">           </w:t>
      </w:r>
      <w:r>
        <w:rPr>
          <w:rFonts w:hint="eastAsia"/>
          <w:b/>
          <w:sz w:val="28"/>
          <w:u w:val="single"/>
        </w:rPr>
        <w:tab/>
      </w:r>
      <w:r>
        <w:rPr>
          <w:rFonts w:hint="eastAsia"/>
          <w:b/>
          <w:sz w:val="28"/>
        </w:rPr>
        <w:t>（电子签章）</w:t>
      </w:r>
    </w:p>
    <w:p>
      <w:pPr>
        <w:pStyle w:val="8"/>
        <w:spacing w:line="360" w:lineRule="auto"/>
        <w:jc w:val="center"/>
        <w:rPr>
          <w:b/>
          <w:sz w:val="28"/>
        </w:rPr>
      </w:pPr>
      <w:r>
        <w:rPr>
          <w:rFonts w:hint="eastAsia"/>
          <w:b/>
          <w:sz w:val="28"/>
        </w:rPr>
        <w:t>法定代表人或其委托代理人：</w:t>
      </w:r>
      <w:r>
        <w:rPr>
          <w:rFonts w:hint="eastAsia"/>
          <w:b/>
          <w:sz w:val="28"/>
          <w:u w:val="single"/>
        </w:rPr>
        <w:t xml:space="preserve"> </w:t>
      </w:r>
      <w:r>
        <w:rPr>
          <w:rFonts w:hint="eastAsia"/>
          <w:b/>
          <w:sz w:val="28"/>
          <w:u w:val="single"/>
        </w:rPr>
        <w:tab/>
      </w:r>
      <w:r>
        <w:rPr>
          <w:rFonts w:hint="eastAsia"/>
          <w:b/>
          <w:sz w:val="28"/>
          <w:u w:val="single"/>
          <w:lang w:val="en-US"/>
        </w:rPr>
        <w:t xml:space="preserve">  </w:t>
      </w:r>
      <w:r>
        <w:rPr>
          <w:rFonts w:hint="eastAsia"/>
          <w:b/>
          <w:sz w:val="28"/>
          <w:u w:val="single"/>
        </w:rPr>
        <w:tab/>
      </w:r>
      <w:r>
        <w:rPr>
          <w:rFonts w:hint="eastAsia"/>
          <w:b/>
          <w:sz w:val="28"/>
        </w:rPr>
        <w:t>（签字或电子签名）</w:t>
      </w:r>
    </w:p>
    <w:p>
      <w:pPr>
        <w:pStyle w:val="8"/>
        <w:spacing w:line="360" w:lineRule="auto"/>
        <w:ind w:firstLine="2249" w:firstLineChars="800"/>
        <w:jc w:val="both"/>
        <w:rPr>
          <w:b/>
          <w:sz w:val="28"/>
          <w:u w:val="single"/>
        </w:rPr>
      </w:pPr>
      <w:r>
        <w:rPr>
          <w:rFonts w:hint="eastAsia"/>
          <w:b/>
          <w:sz w:val="28"/>
        </w:rPr>
        <w:t>日 期 ：</w:t>
      </w:r>
      <w:r>
        <w:rPr>
          <w:rFonts w:hint="eastAsia"/>
          <w:b/>
          <w:sz w:val="28"/>
          <w:u w:val="single"/>
          <w:lang w:val="en-US"/>
        </w:rPr>
        <w:t xml:space="preserve">      </w:t>
      </w:r>
      <w:r>
        <w:rPr>
          <w:rFonts w:hint="eastAsia"/>
          <w:b/>
          <w:sz w:val="28"/>
        </w:rPr>
        <w:t>年</w:t>
      </w:r>
      <w:r>
        <w:rPr>
          <w:rFonts w:hint="eastAsia"/>
          <w:b/>
          <w:sz w:val="28"/>
          <w:u w:val="single"/>
        </w:rPr>
        <w:t xml:space="preserve"> </w:t>
      </w:r>
      <w:r>
        <w:rPr>
          <w:rFonts w:hint="eastAsia"/>
          <w:b/>
          <w:sz w:val="28"/>
          <w:u w:val="single"/>
        </w:rPr>
        <w:tab/>
      </w:r>
      <w:r>
        <w:rPr>
          <w:rFonts w:hint="eastAsia"/>
          <w:b/>
          <w:sz w:val="28"/>
          <w:u w:val="single"/>
          <w:lang w:val="en-US"/>
        </w:rPr>
        <w:t xml:space="preserve">   </w:t>
      </w:r>
      <w:r>
        <w:rPr>
          <w:rFonts w:hint="eastAsia"/>
          <w:b/>
          <w:sz w:val="28"/>
        </w:rPr>
        <w:t>月</w:t>
      </w:r>
      <w:r>
        <w:rPr>
          <w:rFonts w:hint="eastAsia"/>
          <w:b/>
          <w:sz w:val="28"/>
          <w:u w:val="single"/>
        </w:rPr>
        <w:t xml:space="preserve"> </w:t>
      </w:r>
      <w:r>
        <w:rPr>
          <w:rFonts w:hint="eastAsia"/>
          <w:b/>
          <w:sz w:val="28"/>
          <w:u w:val="single"/>
        </w:rPr>
        <w:tab/>
      </w:r>
      <w:r>
        <w:rPr>
          <w:rFonts w:hint="eastAsia"/>
          <w:b/>
          <w:sz w:val="28"/>
          <w:u w:val="single"/>
          <w:lang w:val="en-US"/>
        </w:rPr>
        <w:t xml:space="preserve">    </w:t>
      </w:r>
      <w:r>
        <w:rPr>
          <w:rFonts w:hint="eastAsia"/>
          <w:b/>
          <w:sz w:val="28"/>
        </w:rPr>
        <w:t>日</w:t>
      </w:r>
    </w:p>
    <w:p>
      <w:pPr>
        <w:pStyle w:val="8"/>
        <w:rPr>
          <w:b/>
          <w:sz w:val="28"/>
        </w:rPr>
      </w:pPr>
    </w:p>
    <w:p>
      <w:pPr>
        <w:pStyle w:val="8"/>
        <w:rPr>
          <w:b/>
          <w:sz w:val="28"/>
        </w:rPr>
      </w:pPr>
    </w:p>
    <w:p>
      <w:pPr>
        <w:pStyle w:val="8"/>
        <w:rPr>
          <w:b/>
          <w:sz w:val="28"/>
        </w:rPr>
      </w:pPr>
    </w:p>
    <w:p>
      <w:pPr>
        <w:rPr>
          <w:b/>
          <w:sz w:val="30"/>
        </w:rPr>
      </w:pPr>
      <w:r>
        <w:rPr>
          <w:b/>
          <w:sz w:val="30"/>
        </w:rPr>
        <w:br w:type="page"/>
      </w:r>
    </w:p>
    <w:p>
      <w:pPr>
        <w:pStyle w:val="24"/>
        <w:rPr>
          <w:color w:val="auto"/>
        </w:rPr>
      </w:pPr>
    </w:p>
    <w:p>
      <w:pPr>
        <w:tabs>
          <w:tab w:val="left" w:pos="1327"/>
        </w:tabs>
        <w:spacing w:before="8"/>
        <w:jc w:val="center"/>
        <w:rPr>
          <w:b/>
          <w:sz w:val="44"/>
        </w:rPr>
      </w:pPr>
      <w:r>
        <w:rPr>
          <w:b/>
          <w:sz w:val="40"/>
          <w:szCs w:val="21"/>
        </w:rPr>
        <w:t>目</w:t>
      </w:r>
      <w:r>
        <w:rPr>
          <w:b/>
          <w:sz w:val="40"/>
          <w:szCs w:val="21"/>
        </w:rPr>
        <w:tab/>
      </w:r>
      <w:r>
        <w:rPr>
          <w:b/>
          <w:sz w:val="40"/>
          <w:szCs w:val="21"/>
        </w:rPr>
        <w:t>录</w:t>
      </w:r>
    </w:p>
    <w:p>
      <w:pPr>
        <w:pStyle w:val="8"/>
        <w:rPr>
          <w:b/>
          <w:sz w:val="20"/>
        </w:rPr>
      </w:pPr>
    </w:p>
    <w:p>
      <w:pPr>
        <w:pStyle w:val="8"/>
        <w:rPr>
          <w:b/>
          <w:sz w:val="20"/>
        </w:rPr>
      </w:pPr>
    </w:p>
    <w:p>
      <w:pPr>
        <w:spacing w:line="360" w:lineRule="auto"/>
        <w:rPr>
          <w:sz w:val="24"/>
          <w:szCs w:val="24"/>
        </w:rPr>
      </w:pPr>
      <w:r>
        <w:rPr>
          <w:rFonts w:hint="eastAsia"/>
          <w:sz w:val="24"/>
          <w:szCs w:val="24"/>
        </w:rPr>
        <w:t>一、投标函及投标函附录</w:t>
      </w:r>
    </w:p>
    <w:p>
      <w:pPr>
        <w:spacing w:line="360" w:lineRule="auto"/>
        <w:rPr>
          <w:sz w:val="24"/>
          <w:szCs w:val="24"/>
        </w:rPr>
      </w:pPr>
      <w:r>
        <w:rPr>
          <w:rFonts w:hint="eastAsia"/>
          <w:sz w:val="24"/>
          <w:szCs w:val="24"/>
        </w:rPr>
        <w:t>二、法定代表人身份证明</w:t>
      </w:r>
    </w:p>
    <w:p>
      <w:pPr>
        <w:spacing w:line="360" w:lineRule="auto"/>
        <w:rPr>
          <w:sz w:val="24"/>
          <w:szCs w:val="24"/>
        </w:rPr>
      </w:pPr>
      <w:r>
        <w:rPr>
          <w:rFonts w:hint="eastAsia"/>
          <w:sz w:val="24"/>
          <w:szCs w:val="24"/>
        </w:rPr>
        <w:t>三、授权委托书</w:t>
      </w:r>
    </w:p>
    <w:p>
      <w:pPr>
        <w:spacing w:line="360" w:lineRule="auto"/>
        <w:rPr>
          <w:sz w:val="24"/>
          <w:szCs w:val="24"/>
        </w:rPr>
      </w:pPr>
      <w:r>
        <w:rPr>
          <w:rFonts w:hint="eastAsia"/>
          <w:sz w:val="24"/>
          <w:szCs w:val="24"/>
        </w:rPr>
        <w:t>四、服务方案</w:t>
      </w:r>
    </w:p>
    <w:p>
      <w:pPr>
        <w:spacing w:line="360" w:lineRule="auto"/>
        <w:rPr>
          <w:sz w:val="24"/>
          <w:szCs w:val="24"/>
        </w:rPr>
      </w:pPr>
      <w:r>
        <w:rPr>
          <w:rFonts w:hint="eastAsia"/>
          <w:sz w:val="24"/>
          <w:szCs w:val="24"/>
        </w:rPr>
        <w:t>五、项目管理机构</w:t>
      </w:r>
    </w:p>
    <w:p>
      <w:pPr>
        <w:spacing w:line="360" w:lineRule="auto"/>
        <w:rPr>
          <w:sz w:val="24"/>
          <w:szCs w:val="24"/>
        </w:rPr>
      </w:pPr>
      <w:r>
        <w:rPr>
          <w:rFonts w:hint="eastAsia"/>
          <w:sz w:val="24"/>
          <w:szCs w:val="24"/>
        </w:rPr>
        <w:t>六、资格审查相关资料</w:t>
      </w:r>
    </w:p>
    <w:p>
      <w:pPr>
        <w:spacing w:line="360" w:lineRule="auto"/>
        <w:rPr>
          <w:sz w:val="24"/>
          <w:szCs w:val="24"/>
        </w:rPr>
      </w:pPr>
      <w:r>
        <w:rPr>
          <w:rFonts w:hint="eastAsia"/>
          <w:sz w:val="24"/>
          <w:szCs w:val="24"/>
        </w:rPr>
        <w:t>七、投标承诺函</w:t>
      </w:r>
    </w:p>
    <w:p>
      <w:pPr>
        <w:spacing w:line="360" w:lineRule="auto"/>
        <w:rPr>
          <w:sz w:val="24"/>
          <w:szCs w:val="24"/>
        </w:rPr>
      </w:pPr>
      <w:r>
        <w:rPr>
          <w:rFonts w:hint="eastAsia"/>
          <w:sz w:val="24"/>
          <w:szCs w:val="24"/>
        </w:rPr>
        <w:t>八、服务承诺</w:t>
      </w:r>
    </w:p>
    <w:p>
      <w:pPr>
        <w:spacing w:line="360" w:lineRule="auto"/>
        <w:rPr>
          <w:sz w:val="24"/>
          <w:szCs w:val="24"/>
        </w:rPr>
      </w:pPr>
      <w:r>
        <w:rPr>
          <w:rFonts w:hint="eastAsia"/>
          <w:sz w:val="24"/>
          <w:szCs w:val="24"/>
        </w:rPr>
        <w:t>九、招标文件确认书</w:t>
      </w:r>
    </w:p>
    <w:p>
      <w:pPr>
        <w:spacing w:line="360" w:lineRule="auto"/>
        <w:rPr>
          <w:sz w:val="24"/>
          <w:szCs w:val="24"/>
        </w:rPr>
      </w:pPr>
      <w:r>
        <w:rPr>
          <w:rFonts w:hint="eastAsia"/>
          <w:sz w:val="24"/>
          <w:szCs w:val="24"/>
        </w:rPr>
        <w:t>十、承诺书</w:t>
      </w:r>
    </w:p>
    <w:p>
      <w:pPr>
        <w:spacing w:line="360" w:lineRule="auto"/>
        <w:rPr>
          <w:sz w:val="24"/>
          <w:szCs w:val="24"/>
        </w:rPr>
      </w:pPr>
      <w:r>
        <w:rPr>
          <w:rFonts w:hint="eastAsia"/>
          <w:sz w:val="24"/>
          <w:szCs w:val="24"/>
        </w:rPr>
        <w:t>十一、投标人认为应附或招标文件要求的其它材料</w:t>
      </w:r>
    </w:p>
    <w:p>
      <w:pPr>
        <w:spacing w:line="360" w:lineRule="auto"/>
        <w:rPr>
          <w:sz w:val="24"/>
          <w:szCs w:val="24"/>
        </w:rPr>
        <w:sectPr>
          <w:pgSz w:w="11910" w:h="16840"/>
          <w:pgMar w:top="1361" w:right="1417" w:bottom="1361" w:left="1417" w:header="0" w:footer="913" w:gutter="0"/>
          <w:cols w:space="425" w:num="1"/>
        </w:sectPr>
      </w:pPr>
      <w:r>
        <w:rPr>
          <w:rFonts w:hint="eastAsia"/>
          <w:sz w:val="24"/>
          <w:szCs w:val="24"/>
        </w:rPr>
        <w:t>十二、享受政府采购政策的证明材料</w:t>
      </w:r>
    </w:p>
    <w:p>
      <w:pPr>
        <w:pStyle w:val="4"/>
        <w:spacing w:before="40"/>
      </w:pPr>
      <w:bookmarkStart w:id="29" w:name="_Toc20573"/>
      <w:r>
        <w:rPr>
          <w:sz w:val="28"/>
          <w:szCs w:val="28"/>
        </w:rPr>
        <w:t>一、投标函及投标函附录</w:t>
      </w:r>
      <w:bookmarkEnd w:id="29"/>
    </w:p>
    <w:p>
      <w:pPr>
        <w:pStyle w:val="5"/>
        <w:spacing w:before="199"/>
        <w:ind w:right="465"/>
        <w:jc w:val="center"/>
      </w:pPr>
      <w:bookmarkStart w:id="30" w:name="_Toc21217"/>
      <w:r>
        <w:t>（一）投 标 函</w:t>
      </w:r>
      <w:bookmarkEnd w:id="30"/>
    </w:p>
    <w:p>
      <w:pPr>
        <w:pStyle w:val="8"/>
        <w:spacing w:before="3" w:line="360" w:lineRule="auto"/>
        <w:rPr>
          <w:b/>
        </w:rPr>
      </w:pPr>
    </w:p>
    <w:p>
      <w:pPr>
        <w:spacing w:line="360" w:lineRule="auto"/>
        <w:rPr>
          <w:sz w:val="24"/>
          <w:szCs w:val="24"/>
        </w:rPr>
      </w:pPr>
      <w:r>
        <w:rPr>
          <w:rFonts w:hint="eastAsia"/>
          <w:sz w:val="24"/>
          <w:szCs w:val="24"/>
        </w:rPr>
        <w:t>致：</w:t>
      </w:r>
      <w:r>
        <w:rPr>
          <w:rFonts w:hint="eastAsia"/>
          <w:sz w:val="24"/>
          <w:szCs w:val="24"/>
          <w:u w:val="single"/>
        </w:rPr>
        <w:t xml:space="preserve"> </w:t>
      </w:r>
      <w:r>
        <w:rPr>
          <w:rFonts w:hint="eastAsia"/>
          <w:sz w:val="24"/>
          <w:szCs w:val="24"/>
          <w:u w:val="single"/>
        </w:rPr>
        <w:tab/>
      </w:r>
      <w:r>
        <w:rPr>
          <w:rFonts w:hint="eastAsia"/>
          <w:sz w:val="24"/>
          <w:szCs w:val="24"/>
          <w:u w:val="single"/>
          <w:lang w:val="en-US"/>
        </w:rPr>
        <w:t xml:space="preserve">           </w:t>
      </w:r>
      <w:r>
        <w:rPr>
          <w:rFonts w:hint="eastAsia"/>
          <w:sz w:val="24"/>
          <w:szCs w:val="24"/>
        </w:rPr>
        <w:t>（采购人名称）</w:t>
      </w:r>
    </w:p>
    <w:p>
      <w:pPr>
        <w:pStyle w:val="24"/>
        <w:rPr>
          <w:color w:val="auto"/>
        </w:rPr>
      </w:pPr>
    </w:p>
    <w:p>
      <w:pPr>
        <w:spacing w:line="480" w:lineRule="auto"/>
        <w:rPr>
          <w:sz w:val="24"/>
          <w:szCs w:val="24"/>
          <w:u w:val="single"/>
        </w:rPr>
      </w:pPr>
      <w:r>
        <w:rPr>
          <w:rFonts w:hint="eastAsia"/>
          <w:sz w:val="24"/>
          <w:szCs w:val="24"/>
        </w:rPr>
        <w:t>1、我方已仔细研究了</w:t>
      </w:r>
      <w:r>
        <w:rPr>
          <w:rFonts w:hint="eastAsia"/>
          <w:sz w:val="24"/>
          <w:szCs w:val="24"/>
          <w:u w:val="single"/>
        </w:rPr>
        <w:t xml:space="preserve"> </w:t>
      </w:r>
      <w:r>
        <w:rPr>
          <w:rFonts w:hint="eastAsia"/>
          <w:sz w:val="24"/>
          <w:szCs w:val="24"/>
          <w:u w:val="single"/>
        </w:rPr>
        <w:tab/>
      </w:r>
      <w:r>
        <w:rPr>
          <w:rFonts w:hint="eastAsia"/>
          <w:sz w:val="24"/>
          <w:szCs w:val="24"/>
          <w:u w:val="single"/>
          <w:lang w:val="en-US"/>
        </w:rPr>
        <w:t xml:space="preserve">      </w:t>
      </w:r>
      <w:r>
        <w:rPr>
          <w:rFonts w:hint="eastAsia"/>
          <w:sz w:val="24"/>
          <w:szCs w:val="24"/>
        </w:rPr>
        <w:t>（项目名称）招标文件的全部内容，愿按照招标文件中规定的条款和要求，完成本项目。投标总报价为</w:t>
      </w:r>
      <w:r>
        <w:rPr>
          <w:rFonts w:hint="eastAsia"/>
          <w:sz w:val="24"/>
          <w:szCs w:val="24"/>
          <w:u w:val="single"/>
        </w:rPr>
        <w:t xml:space="preserve">（大写） </w:t>
      </w:r>
      <w:r>
        <w:rPr>
          <w:rFonts w:hint="eastAsia"/>
          <w:sz w:val="24"/>
          <w:szCs w:val="24"/>
          <w:u w:val="single"/>
        </w:rPr>
        <w:tab/>
      </w:r>
      <w:r>
        <w:rPr>
          <w:rFonts w:hint="eastAsia"/>
          <w:sz w:val="24"/>
          <w:szCs w:val="24"/>
          <w:u w:val="single"/>
          <w:lang w:val="en-US"/>
        </w:rPr>
        <w:t xml:space="preserve">   </w:t>
      </w:r>
      <w:r>
        <w:rPr>
          <w:rFonts w:hint="eastAsia"/>
          <w:sz w:val="24"/>
          <w:szCs w:val="24"/>
          <w:u w:val="single"/>
        </w:rPr>
        <w:t>，（¥</w:t>
      </w:r>
      <w:r>
        <w:rPr>
          <w:rFonts w:hint="eastAsia"/>
          <w:sz w:val="24"/>
          <w:szCs w:val="24"/>
          <w:u w:val="single"/>
        </w:rPr>
        <w:tab/>
      </w:r>
    </w:p>
    <w:p>
      <w:pPr>
        <w:spacing w:line="480" w:lineRule="auto"/>
        <w:rPr>
          <w:sz w:val="24"/>
          <w:szCs w:val="24"/>
        </w:rPr>
      </w:pPr>
      <w:r>
        <w:rPr>
          <w:rFonts w:hint="eastAsia"/>
          <w:sz w:val="24"/>
          <w:szCs w:val="24"/>
          <w:u w:val="single"/>
        </w:rPr>
        <w:t xml:space="preserve"> </w:t>
      </w:r>
      <w:r>
        <w:rPr>
          <w:rFonts w:hint="eastAsia"/>
          <w:sz w:val="24"/>
          <w:szCs w:val="24"/>
          <w:u w:val="single"/>
        </w:rPr>
        <w:tab/>
      </w:r>
      <w:r>
        <w:rPr>
          <w:rFonts w:hint="eastAsia"/>
          <w:sz w:val="24"/>
          <w:szCs w:val="24"/>
          <w:u w:val="single"/>
        </w:rPr>
        <w:t>元）</w:t>
      </w:r>
      <w:r>
        <w:rPr>
          <w:rFonts w:hint="eastAsia"/>
          <w:sz w:val="24"/>
          <w:szCs w:val="24"/>
        </w:rPr>
        <w:t>，工期（服务周期）为合同生效后</w:t>
      </w:r>
      <w:r>
        <w:rPr>
          <w:rFonts w:hint="eastAsia"/>
          <w:sz w:val="24"/>
          <w:szCs w:val="24"/>
          <w:u w:val="single"/>
          <w:lang w:val="en-US"/>
        </w:rPr>
        <w:t xml:space="preserve">       </w:t>
      </w:r>
      <w:r>
        <w:rPr>
          <w:rFonts w:hint="eastAsia"/>
          <w:sz w:val="24"/>
          <w:szCs w:val="24"/>
        </w:rPr>
        <w:t>个月，质量要求：</w:t>
      </w:r>
      <w:r>
        <w:rPr>
          <w:rFonts w:hint="eastAsia"/>
          <w:sz w:val="24"/>
          <w:szCs w:val="24"/>
          <w:u w:val="single"/>
        </w:rPr>
        <w:t xml:space="preserve"> </w:t>
      </w:r>
      <w:r>
        <w:rPr>
          <w:rFonts w:hint="eastAsia"/>
          <w:sz w:val="24"/>
          <w:szCs w:val="24"/>
          <w:u w:val="single"/>
        </w:rPr>
        <w:tab/>
      </w:r>
      <w:r>
        <w:rPr>
          <w:rFonts w:hint="eastAsia"/>
          <w:sz w:val="24"/>
          <w:szCs w:val="24"/>
        </w:rPr>
        <w:t>。</w:t>
      </w:r>
    </w:p>
    <w:p>
      <w:pPr>
        <w:spacing w:line="480" w:lineRule="auto"/>
        <w:rPr>
          <w:sz w:val="24"/>
          <w:szCs w:val="24"/>
        </w:rPr>
      </w:pPr>
      <w:r>
        <w:rPr>
          <w:rFonts w:hint="eastAsia"/>
          <w:sz w:val="24"/>
          <w:szCs w:val="24"/>
        </w:rPr>
        <w:t>2、我方承诺在投标有效期内不修改、撤销投标文件。</w:t>
      </w:r>
    </w:p>
    <w:p>
      <w:pPr>
        <w:spacing w:line="480" w:lineRule="auto"/>
        <w:rPr>
          <w:sz w:val="24"/>
          <w:szCs w:val="24"/>
        </w:rPr>
      </w:pPr>
      <w:r>
        <w:rPr>
          <w:rFonts w:hint="eastAsia"/>
          <w:sz w:val="24"/>
          <w:szCs w:val="24"/>
        </w:rPr>
        <w:t>3、如我方中标：</w:t>
      </w:r>
    </w:p>
    <w:p>
      <w:pPr>
        <w:spacing w:line="480" w:lineRule="auto"/>
        <w:rPr>
          <w:sz w:val="24"/>
          <w:szCs w:val="24"/>
        </w:rPr>
      </w:pPr>
      <w:r>
        <w:rPr>
          <w:rFonts w:hint="eastAsia"/>
          <w:sz w:val="24"/>
          <w:szCs w:val="24"/>
        </w:rPr>
        <w:t>（1）我方承诺在收到中标通知书后，在中标通知书规定的期限内与你方签订合同。</w:t>
      </w:r>
    </w:p>
    <w:p>
      <w:pPr>
        <w:spacing w:line="480" w:lineRule="auto"/>
        <w:rPr>
          <w:sz w:val="24"/>
          <w:szCs w:val="24"/>
        </w:rPr>
      </w:pPr>
      <w:r>
        <w:rPr>
          <w:rFonts w:hint="eastAsia"/>
          <w:sz w:val="24"/>
          <w:szCs w:val="24"/>
        </w:rPr>
        <w:t>（2）随同本投标函递交的投标函附录属于合同文件的组成部分。</w:t>
      </w:r>
    </w:p>
    <w:p>
      <w:pPr>
        <w:spacing w:line="480" w:lineRule="auto"/>
        <w:rPr>
          <w:sz w:val="24"/>
          <w:szCs w:val="24"/>
        </w:rPr>
      </w:pPr>
      <w:r>
        <w:rPr>
          <w:rFonts w:hint="eastAsia"/>
          <w:sz w:val="24"/>
          <w:szCs w:val="24"/>
        </w:rPr>
        <w:t>（3）我方承诺按照招标文件规定向你方递交履约担保。</w:t>
      </w:r>
    </w:p>
    <w:p>
      <w:pPr>
        <w:spacing w:line="480" w:lineRule="auto"/>
        <w:rPr>
          <w:sz w:val="24"/>
          <w:szCs w:val="24"/>
        </w:rPr>
      </w:pPr>
      <w:r>
        <w:rPr>
          <w:rFonts w:hint="eastAsia"/>
          <w:sz w:val="24"/>
          <w:szCs w:val="24"/>
        </w:rPr>
        <w:t>（4）我方承诺在合同约定的期限内完成本项目。</w:t>
      </w:r>
    </w:p>
    <w:p>
      <w:pPr>
        <w:spacing w:line="480" w:lineRule="auto"/>
        <w:rPr>
          <w:sz w:val="24"/>
          <w:szCs w:val="24"/>
        </w:rPr>
      </w:pPr>
      <w:r>
        <w:rPr>
          <w:rFonts w:hint="eastAsia"/>
          <w:sz w:val="24"/>
          <w:szCs w:val="24"/>
        </w:rPr>
        <w:t>4、我方在此声明，所递交的投标文件及有关资料内容完整、真实和准确。</w:t>
      </w:r>
    </w:p>
    <w:p>
      <w:pPr>
        <w:spacing w:line="360" w:lineRule="auto"/>
        <w:rPr>
          <w:sz w:val="24"/>
          <w:szCs w:val="24"/>
        </w:rPr>
      </w:pPr>
    </w:p>
    <w:p>
      <w:pPr>
        <w:pStyle w:val="24"/>
        <w:rPr>
          <w:color w:val="auto"/>
        </w:rPr>
      </w:pPr>
    </w:p>
    <w:p>
      <w:pPr>
        <w:pStyle w:val="24"/>
        <w:rPr>
          <w:color w:val="auto"/>
        </w:rPr>
      </w:pPr>
    </w:p>
    <w:p>
      <w:pPr>
        <w:spacing w:line="480" w:lineRule="auto"/>
        <w:jc w:val="right"/>
        <w:rPr>
          <w:sz w:val="24"/>
          <w:szCs w:val="24"/>
        </w:rPr>
      </w:pPr>
      <w:r>
        <w:rPr>
          <w:rFonts w:hint="eastAsia"/>
          <w:sz w:val="24"/>
          <w:szCs w:val="24"/>
        </w:rPr>
        <w:t>投标人：</w:t>
      </w:r>
      <w:r>
        <w:rPr>
          <w:rFonts w:hint="eastAsia"/>
          <w:sz w:val="24"/>
          <w:szCs w:val="24"/>
          <w:u w:val="single"/>
        </w:rPr>
        <w:t xml:space="preserve"> </w:t>
      </w:r>
      <w:r>
        <w:rPr>
          <w:rFonts w:hint="eastAsia"/>
          <w:sz w:val="24"/>
          <w:szCs w:val="24"/>
          <w:u w:val="single"/>
          <w:lang w:val="en-US"/>
        </w:rPr>
        <w:t xml:space="preserve">     </w:t>
      </w:r>
      <w:r>
        <w:rPr>
          <w:rFonts w:hint="eastAsia"/>
          <w:sz w:val="24"/>
          <w:szCs w:val="24"/>
          <w:u w:val="single"/>
        </w:rPr>
        <w:tab/>
      </w:r>
      <w:r>
        <w:rPr>
          <w:rFonts w:hint="eastAsia"/>
          <w:sz w:val="24"/>
          <w:szCs w:val="24"/>
        </w:rPr>
        <w:t>（电子签章）</w:t>
      </w:r>
    </w:p>
    <w:p>
      <w:pPr>
        <w:spacing w:line="480" w:lineRule="auto"/>
        <w:jc w:val="right"/>
        <w:rPr>
          <w:sz w:val="24"/>
          <w:szCs w:val="24"/>
        </w:rPr>
      </w:pPr>
      <w:r>
        <w:rPr>
          <w:rFonts w:hint="eastAsia"/>
          <w:sz w:val="24"/>
          <w:szCs w:val="24"/>
        </w:rPr>
        <w:t>法定代表人或委托代理人：</w:t>
      </w:r>
      <w:r>
        <w:rPr>
          <w:rFonts w:hint="eastAsia"/>
          <w:sz w:val="24"/>
          <w:szCs w:val="24"/>
          <w:u w:val="single"/>
        </w:rPr>
        <w:t xml:space="preserve"> </w:t>
      </w:r>
      <w:r>
        <w:rPr>
          <w:rFonts w:hint="eastAsia"/>
          <w:sz w:val="24"/>
          <w:szCs w:val="24"/>
          <w:u w:val="single"/>
          <w:lang w:val="en-US"/>
        </w:rPr>
        <w:t xml:space="preserve">      </w:t>
      </w:r>
      <w:r>
        <w:rPr>
          <w:rFonts w:hint="eastAsia"/>
          <w:sz w:val="24"/>
          <w:szCs w:val="24"/>
          <w:u w:val="single"/>
        </w:rPr>
        <w:tab/>
      </w:r>
      <w:r>
        <w:rPr>
          <w:rFonts w:hint="eastAsia"/>
          <w:sz w:val="24"/>
          <w:szCs w:val="24"/>
        </w:rPr>
        <w:t>（签字或电子签名）</w:t>
      </w:r>
    </w:p>
    <w:p>
      <w:pPr>
        <w:spacing w:line="480" w:lineRule="auto"/>
        <w:jc w:val="right"/>
        <w:rPr>
          <w:sz w:val="24"/>
          <w:szCs w:val="24"/>
        </w:rPr>
        <w:sectPr>
          <w:pgSz w:w="11910" w:h="16840"/>
          <w:pgMar w:top="1361" w:right="1417" w:bottom="1361" w:left="1417" w:header="0" w:footer="913" w:gutter="0"/>
          <w:cols w:space="425" w:num="1"/>
        </w:sectPr>
      </w:pPr>
      <w:r>
        <w:rPr>
          <w:rFonts w:hint="eastAsia"/>
          <w:sz w:val="24"/>
          <w:szCs w:val="24"/>
        </w:rPr>
        <w:t>日期:</w:t>
      </w:r>
      <w:r>
        <w:rPr>
          <w:rFonts w:hint="eastAsia"/>
          <w:sz w:val="24"/>
          <w:szCs w:val="24"/>
        </w:rPr>
        <w:tab/>
      </w:r>
      <w:r>
        <w:rPr>
          <w:rFonts w:hint="eastAsia"/>
          <w:sz w:val="24"/>
          <w:szCs w:val="24"/>
          <w:lang w:val="en-US"/>
        </w:rPr>
        <w:t xml:space="preserve">   </w:t>
      </w:r>
      <w:r>
        <w:rPr>
          <w:rFonts w:hint="eastAsia"/>
          <w:sz w:val="24"/>
          <w:szCs w:val="24"/>
        </w:rPr>
        <w:t>年</w:t>
      </w:r>
      <w:r>
        <w:rPr>
          <w:rFonts w:hint="eastAsia"/>
          <w:sz w:val="24"/>
          <w:szCs w:val="24"/>
        </w:rPr>
        <w:tab/>
      </w:r>
      <w:r>
        <w:rPr>
          <w:rFonts w:hint="eastAsia"/>
          <w:sz w:val="24"/>
          <w:szCs w:val="24"/>
          <w:lang w:val="en-US"/>
        </w:rPr>
        <w:t xml:space="preserve">   </w:t>
      </w:r>
      <w:r>
        <w:rPr>
          <w:rFonts w:hint="eastAsia"/>
          <w:sz w:val="24"/>
          <w:szCs w:val="24"/>
        </w:rPr>
        <w:t>月</w:t>
      </w:r>
      <w:r>
        <w:rPr>
          <w:rFonts w:hint="eastAsia"/>
          <w:sz w:val="24"/>
          <w:szCs w:val="24"/>
        </w:rPr>
        <w:tab/>
      </w:r>
      <w:r>
        <w:rPr>
          <w:rFonts w:hint="eastAsia"/>
          <w:sz w:val="24"/>
          <w:szCs w:val="24"/>
          <w:lang w:val="en-US"/>
        </w:rPr>
        <w:t xml:space="preserve">   </w:t>
      </w:r>
      <w:r>
        <w:rPr>
          <w:rFonts w:hint="eastAsia"/>
          <w:sz w:val="24"/>
          <w:szCs w:val="24"/>
        </w:rPr>
        <w:t>日</w:t>
      </w:r>
    </w:p>
    <w:p>
      <w:pPr>
        <w:pStyle w:val="5"/>
        <w:spacing w:before="40"/>
        <w:ind w:right="466"/>
        <w:jc w:val="center"/>
      </w:pPr>
      <w:bookmarkStart w:id="31" w:name="_Toc4172"/>
      <w:r>
        <w:t>（二）投标函附录</w:t>
      </w:r>
      <w:bookmarkEnd w:id="31"/>
    </w:p>
    <w:p>
      <w:pPr>
        <w:pStyle w:val="8"/>
        <w:rPr>
          <w:b/>
          <w:sz w:val="20"/>
        </w:rPr>
      </w:pPr>
    </w:p>
    <w:p>
      <w:pPr>
        <w:pStyle w:val="8"/>
        <w:spacing w:before="11"/>
        <w:rPr>
          <w:b/>
          <w:sz w:val="14"/>
        </w:rPr>
      </w:pPr>
    </w:p>
    <w:tbl>
      <w:tblPr>
        <w:tblStyle w:val="21"/>
        <w:tblW w:w="9106"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15"/>
        <w:gridCol w:w="65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8" w:hRule="atLeast"/>
        </w:trPr>
        <w:tc>
          <w:tcPr>
            <w:tcW w:w="2515" w:type="dxa"/>
            <w:tcBorders>
              <w:bottom w:val="single" w:color="000000" w:sz="8" w:space="0"/>
              <w:right w:val="single" w:color="000000" w:sz="8" w:space="0"/>
            </w:tcBorders>
          </w:tcPr>
          <w:p>
            <w:pPr>
              <w:pStyle w:val="27"/>
              <w:spacing w:before="4"/>
              <w:rPr>
                <w:b/>
                <w:sz w:val="17"/>
              </w:rPr>
            </w:pPr>
          </w:p>
          <w:p>
            <w:pPr>
              <w:pStyle w:val="27"/>
              <w:ind w:left="755"/>
              <w:rPr>
                <w:sz w:val="24"/>
              </w:rPr>
            </w:pPr>
            <w:r>
              <w:rPr>
                <w:sz w:val="24"/>
              </w:rPr>
              <w:t>项目名称</w:t>
            </w:r>
          </w:p>
        </w:tc>
        <w:tc>
          <w:tcPr>
            <w:tcW w:w="6591" w:type="dxa"/>
            <w:tcBorders>
              <w:left w:val="single" w:color="000000" w:sz="8" w:space="0"/>
              <w:bottom w:val="single" w:color="000000" w:sz="8" w:space="0"/>
            </w:tcBorders>
          </w:tcPr>
          <w:p>
            <w:pPr>
              <w:pStyle w:val="27"/>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10" w:hRule="atLeast"/>
        </w:trPr>
        <w:tc>
          <w:tcPr>
            <w:tcW w:w="2515" w:type="dxa"/>
            <w:tcBorders>
              <w:top w:val="single" w:color="000000" w:sz="8" w:space="0"/>
              <w:bottom w:val="single" w:color="000000" w:sz="8" w:space="0"/>
              <w:right w:val="single" w:color="000000" w:sz="8" w:space="0"/>
            </w:tcBorders>
          </w:tcPr>
          <w:p>
            <w:pPr>
              <w:pStyle w:val="27"/>
              <w:rPr>
                <w:b/>
                <w:sz w:val="25"/>
              </w:rPr>
            </w:pPr>
          </w:p>
          <w:p>
            <w:pPr>
              <w:pStyle w:val="27"/>
              <w:spacing w:before="1"/>
              <w:ind w:left="635"/>
              <w:rPr>
                <w:sz w:val="24"/>
              </w:rPr>
            </w:pPr>
            <w:r>
              <w:rPr>
                <w:sz w:val="24"/>
              </w:rPr>
              <w:t>投标人名称</w:t>
            </w:r>
          </w:p>
        </w:tc>
        <w:tc>
          <w:tcPr>
            <w:tcW w:w="6591" w:type="dxa"/>
            <w:tcBorders>
              <w:top w:val="single" w:color="000000" w:sz="8" w:space="0"/>
              <w:left w:val="single" w:color="000000" w:sz="8" w:space="0"/>
              <w:bottom w:val="single" w:color="000000" w:sz="8" w:space="0"/>
            </w:tcBorders>
          </w:tcPr>
          <w:p>
            <w:pPr>
              <w:pStyle w:val="27"/>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21" w:hRule="atLeast"/>
        </w:trPr>
        <w:tc>
          <w:tcPr>
            <w:tcW w:w="2515" w:type="dxa"/>
            <w:tcBorders>
              <w:top w:val="single" w:color="000000" w:sz="8" w:space="0"/>
              <w:bottom w:val="single" w:color="000000" w:sz="8" w:space="0"/>
              <w:right w:val="single" w:color="000000" w:sz="8" w:space="0"/>
            </w:tcBorders>
          </w:tcPr>
          <w:p>
            <w:pPr>
              <w:pStyle w:val="27"/>
              <w:rPr>
                <w:b/>
                <w:sz w:val="24"/>
              </w:rPr>
            </w:pPr>
          </w:p>
          <w:p>
            <w:pPr>
              <w:pStyle w:val="27"/>
              <w:spacing w:before="160"/>
              <w:ind w:left="496"/>
              <w:rPr>
                <w:sz w:val="24"/>
              </w:rPr>
            </w:pPr>
            <w:r>
              <w:rPr>
                <w:sz w:val="24"/>
              </w:rPr>
              <w:t>投标报价（元）</w:t>
            </w:r>
          </w:p>
        </w:tc>
        <w:tc>
          <w:tcPr>
            <w:tcW w:w="6591" w:type="dxa"/>
            <w:tcBorders>
              <w:top w:val="single" w:color="000000" w:sz="8" w:space="0"/>
              <w:left w:val="single" w:color="000000" w:sz="8" w:space="0"/>
              <w:bottom w:val="single" w:color="000000" w:sz="8" w:space="0"/>
            </w:tcBorders>
          </w:tcPr>
          <w:p>
            <w:pPr>
              <w:pStyle w:val="27"/>
              <w:spacing w:before="2"/>
              <w:ind w:left="16"/>
              <w:rPr>
                <w:sz w:val="24"/>
              </w:rPr>
            </w:pPr>
            <w:r>
              <w:rPr>
                <w:sz w:val="24"/>
              </w:rPr>
              <w:t>大写：</w:t>
            </w:r>
          </w:p>
          <w:p>
            <w:pPr>
              <w:pStyle w:val="27"/>
              <w:rPr>
                <w:b/>
                <w:sz w:val="24"/>
              </w:rPr>
            </w:pPr>
          </w:p>
          <w:p>
            <w:pPr>
              <w:pStyle w:val="27"/>
              <w:spacing w:before="3"/>
              <w:rPr>
                <w:b/>
                <w:sz w:val="34"/>
              </w:rPr>
            </w:pPr>
          </w:p>
          <w:p>
            <w:pPr>
              <w:pStyle w:val="27"/>
              <w:ind w:left="16"/>
              <w:rPr>
                <w:sz w:val="24"/>
              </w:rPr>
            </w:pPr>
            <w:r>
              <w:rPr>
                <w:sz w:val="24"/>
              </w:rPr>
              <w:t>小写：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9" w:hRule="atLeast"/>
        </w:trPr>
        <w:tc>
          <w:tcPr>
            <w:tcW w:w="2515" w:type="dxa"/>
            <w:tcBorders>
              <w:top w:val="single" w:color="000000" w:sz="8" w:space="0"/>
              <w:bottom w:val="single" w:color="000000" w:sz="8" w:space="0"/>
              <w:right w:val="single" w:color="000000" w:sz="8" w:space="0"/>
            </w:tcBorders>
          </w:tcPr>
          <w:p>
            <w:pPr>
              <w:pStyle w:val="27"/>
              <w:spacing w:before="7"/>
              <w:rPr>
                <w:b/>
                <w:sz w:val="23"/>
              </w:rPr>
            </w:pPr>
          </w:p>
          <w:p>
            <w:pPr>
              <w:pStyle w:val="27"/>
              <w:ind w:left="755"/>
              <w:rPr>
                <w:sz w:val="24"/>
              </w:rPr>
            </w:pPr>
            <w:r>
              <w:rPr>
                <w:sz w:val="24"/>
              </w:rPr>
              <w:t>服务期限</w:t>
            </w:r>
          </w:p>
        </w:tc>
        <w:tc>
          <w:tcPr>
            <w:tcW w:w="6591" w:type="dxa"/>
            <w:tcBorders>
              <w:top w:val="single" w:color="000000" w:sz="8" w:space="0"/>
              <w:left w:val="single" w:color="000000" w:sz="8" w:space="0"/>
              <w:bottom w:val="single" w:color="000000" w:sz="8" w:space="0"/>
            </w:tcBorders>
            <w:vAlign w:val="center"/>
          </w:tcPr>
          <w:p>
            <w:pPr>
              <w:pStyle w:val="27"/>
              <w:tabs>
                <w:tab w:val="left" w:pos="1936"/>
              </w:tabs>
              <w:jc w:val="center"/>
              <w:rPr>
                <w:sz w:val="24"/>
              </w:rPr>
            </w:pPr>
            <w:r>
              <w:rPr>
                <w:rFonts w:hint="eastAsia"/>
                <w:sz w:val="24"/>
              </w:rPr>
              <w:t>自合同签订之日起</w:t>
            </w:r>
            <w:r>
              <w:rPr>
                <w:rFonts w:hint="eastAsia"/>
                <w:sz w:val="24"/>
                <w:lang w:val="en-US"/>
              </w:rPr>
              <w:t xml:space="preserve"> </w:t>
            </w:r>
            <w:r>
              <w:rPr>
                <w:rFonts w:hint="eastAsia"/>
                <w:sz w:val="24"/>
                <w:u w:val="single"/>
                <w:lang w:val="en-US"/>
              </w:rPr>
              <w:t xml:space="preserve">      </w:t>
            </w:r>
            <w:r>
              <w:rPr>
                <w:rFonts w:hint="eastAsia"/>
                <w:sz w:val="24"/>
                <w:lang w:val="en-US"/>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0" w:hRule="atLeast"/>
        </w:trPr>
        <w:tc>
          <w:tcPr>
            <w:tcW w:w="2515" w:type="dxa"/>
            <w:tcBorders>
              <w:top w:val="single" w:color="000000" w:sz="8" w:space="0"/>
              <w:bottom w:val="single" w:color="000000" w:sz="8" w:space="0"/>
              <w:right w:val="single" w:color="000000" w:sz="8" w:space="0"/>
            </w:tcBorders>
          </w:tcPr>
          <w:p>
            <w:pPr>
              <w:pStyle w:val="27"/>
              <w:spacing w:before="11"/>
              <w:rPr>
                <w:b/>
                <w:sz w:val="24"/>
              </w:rPr>
            </w:pPr>
          </w:p>
          <w:p>
            <w:pPr>
              <w:pStyle w:val="27"/>
              <w:ind w:left="755"/>
              <w:rPr>
                <w:sz w:val="24"/>
              </w:rPr>
            </w:pPr>
            <w:r>
              <w:rPr>
                <w:sz w:val="24"/>
              </w:rPr>
              <w:t>投标质量</w:t>
            </w:r>
          </w:p>
        </w:tc>
        <w:tc>
          <w:tcPr>
            <w:tcW w:w="6591" w:type="dxa"/>
            <w:tcBorders>
              <w:top w:val="single" w:color="000000" w:sz="8" w:space="0"/>
              <w:left w:val="single" w:color="000000" w:sz="8" w:space="0"/>
              <w:bottom w:val="single" w:color="000000" w:sz="8" w:space="0"/>
            </w:tcBorders>
          </w:tcPr>
          <w:p>
            <w:pPr>
              <w:pStyle w:val="27"/>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1" w:hRule="atLeast"/>
        </w:trPr>
        <w:tc>
          <w:tcPr>
            <w:tcW w:w="2515" w:type="dxa"/>
            <w:tcBorders>
              <w:top w:val="single" w:color="000000" w:sz="8" w:space="0"/>
              <w:bottom w:val="single" w:color="000000" w:sz="8" w:space="0"/>
              <w:right w:val="single" w:color="000000" w:sz="8" w:space="0"/>
            </w:tcBorders>
          </w:tcPr>
          <w:p>
            <w:pPr>
              <w:pStyle w:val="27"/>
              <w:spacing w:before="11"/>
              <w:rPr>
                <w:b/>
                <w:sz w:val="24"/>
              </w:rPr>
            </w:pPr>
          </w:p>
          <w:p>
            <w:pPr>
              <w:pStyle w:val="27"/>
              <w:ind w:left="635"/>
              <w:rPr>
                <w:sz w:val="24"/>
              </w:rPr>
            </w:pPr>
            <w:r>
              <w:rPr>
                <w:sz w:val="24"/>
              </w:rPr>
              <w:t>投标有效期</w:t>
            </w:r>
          </w:p>
        </w:tc>
        <w:tc>
          <w:tcPr>
            <w:tcW w:w="6591" w:type="dxa"/>
            <w:tcBorders>
              <w:top w:val="single" w:color="000000" w:sz="8" w:space="0"/>
              <w:left w:val="single" w:color="000000" w:sz="8" w:space="0"/>
              <w:bottom w:val="single" w:color="000000" w:sz="8" w:space="0"/>
            </w:tcBorders>
          </w:tcPr>
          <w:p>
            <w:pPr>
              <w:pStyle w:val="27"/>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38" w:hRule="atLeast"/>
        </w:trPr>
        <w:tc>
          <w:tcPr>
            <w:tcW w:w="9106" w:type="dxa"/>
            <w:gridSpan w:val="2"/>
            <w:tcBorders>
              <w:top w:val="single" w:color="000000" w:sz="8" w:space="0"/>
            </w:tcBorders>
          </w:tcPr>
          <w:p>
            <w:pPr>
              <w:pStyle w:val="27"/>
              <w:spacing w:before="2"/>
              <w:ind w:left="496"/>
              <w:rPr>
                <w:sz w:val="24"/>
              </w:rPr>
            </w:pPr>
          </w:p>
          <w:p>
            <w:pPr>
              <w:pStyle w:val="27"/>
              <w:spacing w:before="2"/>
              <w:ind w:left="496"/>
              <w:rPr>
                <w:sz w:val="24"/>
              </w:rPr>
            </w:pPr>
            <w:r>
              <w:rPr>
                <w:sz w:val="24"/>
              </w:rPr>
              <w:t>服务承诺：</w:t>
            </w:r>
          </w:p>
        </w:tc>
      </w:tr>
    </w:tbl>
    <w:p>
      <w:pPr>
        <w:pStyle w:val="8"/>
        <w:rPr>
          <w:b/>
          <w:sz w:val="20"/>
        </w:rPr>
      </w:pPr>
    </w:p>
    <w:p>
      <w:pPr>
        <w:jc w:val="right"/>
        <w:rPr>
          <w:bCs/>
          <w:sz w:val="24"/>
          <w:szCs w:val="24"/>
        </w:rPr>
      </w:pPr>
      <w:r>
        <w:rPr>
          <w:bCs/>
          <w:sz w:val="24"/>
          <w:szCs w:val="24"/>
        </w:rPr>
        <w:t>投标人：</w:t>
      </w:r>
      <w:r>
        <w:rPr>
          <w:rFonts w:hint="eastAsia"/>
          <w:bCs/>
          <w:sz w:val="24"/>
          <w:szCs w:val="24"/>
          <w:u w:val="single"/>
          <w:lang w:val="en-US"/>
        </w:rPr>
        <w:t xml:space="preserve">        </w:t>
      </w:r>
      <w:r>
        <w:rPr>
          <w:rFonts w:hint="eastAsia"/>
          <w:bCs/>
          <w:sz w:val="24"/>
          <w:szCs w:val="24"/>
          <w:lang w:val="en-US"/>
        </w:rPr>
        <w:t xml:space="preserve"> (</w:t>
      </w:r>
      <w:r>
        <w:rPr>
          <w:bCs/>
          <w:sz w:val="24"/>
          <w:szCs w:val="24"/>
        </w:rPr>
        <w:t xml:space="preserve">电子签章） </w:t>
      </w:r>
    </w:p>
    <w:p>
      <w:pPr>
        <w:jc w:val="right"/>
        <w:rPr>
          <w:bCs/>
          <w:sz w:val="24"/>
          <w:szCs w:val="24"/>
        </w:rPr>
      </w:pPr>
      <w:r>
        <w:rPr>
          <w:bCs/>
          <w:sz w:val="24"/>
          <w:szCs w:val="24"/>
        </w:rPr>
        <w:t>法定代表人或委托代理人：</w:t>
      </w:r>
      <w:r>
        <w:rPr>
          <w:rFonts w:hint="eastAsia"/>
          <w:bCs/>
          <w:sz w:val="24"/>
          <w:szCs w:val="24"/>
          <w:u w:val="single"/>
          <w:lang w:val="en-US"/>
        </w:rPr>
        <w:t xml:space="preserve">        </w:t>
      </w:r>
      <w:r>
        <w:rPr>
          <w:rFonts w:hint="eastAsia"/>
          <w:bCs/>
          <w:sz w:val="24"/>
          <w:szCs w:val="24"/>
          <w:lang w:val="en-US"/>
        </w:rPr>
        <w:t xml:space="preserve"> (签字或电子签名</w:t>
      </w:r>
      <w:r>
        <w:rPr>
          <w:bCs/>
          <w:sz w:val="24"/>
          <w:szCs w:val="24"/>
        </w:rPr>
        <w:t>）</w:t>
      </w:r>
    </w:p>
    <w:p>
      <w:pPr>
        <w:jc w:val="right"/>
        <w:rPr>
          <w:sz w:val="24"/>
          <w:szCs w:val="24"/>
        </w:rPr>
      </w:pPr>
    </w:p>
    <w:p>
      <w:pPr>
        <w:jc w:val="right"/>
        <w:rPr>
          <w:sz w:val="24"/>
          <w:szCs w:val="24"/>
        </w:rPr>
      </w:pPr>
      <w:r>
        <w:rPr>
          <w:rFonts w:hint="eastAsia"/>
          <w:sz w:val="24"/>
          <w:szCs w:val="24"/>
          <w:lang w:val="en-US"/>
        </w:rPr>
        <w:t xml:space="preserve">  </w:t>
      </w:r>
      <w:r>
        <w:rPr>
          <w:sz w:val="24"/>
          <w:szCs w:val="24"/>
        </w:rPr>
        <w:t>日期:</w:t>
      </w:r>
      <w:r>
        <w:rPr>
          <w:sz w:val="24"/>
          <w:szCs w:val="24"/>
        </w:rPr>
        <w:tab/>
      </w:r>
      <w:r>
        <w:rPr>
          <w:sz w:val="24"/>
          <w:szCs w:val="24"/>
        </w:rPr>
        <w:t>年</w:t>
      </w:r>
      <w:r>
        <w:rPr>
          <w:sz w:val="24"/>
          <w:szCs w:val="24"/>
        </w:rPr>
        <w:tab/>
      </w:r>
      <w:r>
        <w:rPr>
          <w:sz w:val="24"/>
          <w:szCs w:val="24"/>
        </w:rPr>
        <w:t>月</w:t>
      </w:r>
      <w:r>
        <w:rPr>
          <w:sz w:val="24"/>
          <w:szCs w:val="24"/>
        </w:rPr>
        <w:tab/>
      </w:r>
      <w:r>
        <w:rPr>
          <w:sz w:val="24"/>
          <w:szCs w:val="24"/>
        </w:rPr>
        <w:t>日</w:t>
      </w:r>
    </w:p>
    <w:p>
      <w:r>
        <w:br w:type="page"/>
      </w:r>
    </w:p>
    <w:p>
      <w:pPr>
        <w:pStyle w:val="4"/>
        <w:spacing w:before="40"/>
        <w:rPr>
          <w:sz w:val="28"/>
          <w:szCs w:val="28"/>
          <w:lang w:val="en-US"/>
        </w:rPr>
      </w:pPr>
      <w:bookmarkStart w:id="32" w:name="_Toc23573"/>
      <w:r>
        <w:rPr>
          <w:rFonts w:hint="eastAsia"/>
          <w:sz w:val="28"/>
          <w:szCs w:val="28"/>
          <w:lang w:val="en-US"/>
        </w:rPr>
        <w:t>二、法定代表人身份证明</w:t>
      </w:r>
      <w:bookmarkEnd w:id="32"/>
    </w:p>
    <w:p>
      <w:pPr>
        <w:pStyle w:val="4"/>
        <w:spacing w:before="40"/>
        <w:rPr>
          <w:b w:val="0"/>
          <w:bCs w:val="0"/>
          <w:sz w:val="24"/>
          <w:szCs w:val="24"/>
        </w:rPr>
      </w:pPr>
    </w:p>
    <w:p>
      <w:pPr>
        <w:spacing w:before="40" w:line="480" w:lineRule="auto"/>
        <w:jc w:val="both"/>
        <w:rPr>
          <w:sz w:val="24"/>
          <w:szCs w:val="24"/>
        </w:rPr>
      </w:pPr>
    </w:p>
    <w:p>
      <w:pPr>
        <w:spacing w:before="40" w:line="480" w:lineRule="auto"/>
        <w:jc w:val="both"/>
        <w:rPr>
          <w:sz w:val="24"/>
          <w:szCs w:val="24"/>
          <w:u w:val="single"/>
        </w:rPr>
      </w:pPr>
      <w:r>
        <w:rPr>
          <w:sz w:val="24"/>
          <w:szCs w:val="24"/>
        </w:rPr>
        <w:t>投标人名称：</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rFonts w:hint="eastAsia"/>
          <w:sz w:val="24"/>
          <w:szCs w:val="24"/>
          <w:u w:val="single"/>
          <w:lang w:val="en-US"/>
        </w:rPr>
        <w:t xml:space="preserve">                        </w:t>
      </w:r>
      <w:r>
        <w:rPr>
          <w:sz w:val="24"/>
          <w:szCs w:val="24"/>
          <w:u w:val="single"/>
        </w:rPr>
        <w:t xml:space="preserve"> </w:t>
      </w:r>
    </w:p>
    <w:p>
      <w:pPr>
        <w:spacing w:before="40" w:line="480" w:lineRule="auto"/>
        <w:jc w:val="both"/>
        <w:rPr>
          <w:sz w:val="24"/>
          <w:szCs w:val="24"/>
          <w:u w:val="single"/>
          <w:lang w:val="en-US"/>
        </w:rPr>
      </w:pPr>
      <w:r>
        <w:rPr>
          <w:sz w:val="24"/>
          <w:szCs w:val="24"/>
        </w:rPr>
        <w:t>单位性质：</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 xml:space="preserve"> </w:t>
      </w:r>
      <w:r>
        <w:rPr>
          <w:rFonts w:hint="eastAsia"/>
          <w:sz w:val="24"/>
          <w:szCs w:val="24"/>
          <w:u w:val="single"/>
          <w:lang w:val="en-US"/>
        </w:rPr>
        <w:t xml:space="preserve">                        </w:t>
      </w:r>
    </w:p>
    <w:p>
      <w:pPr>
        <w:spacing w:before="40" w:line="480" w:lineRule="auto"/>
        <w:jc w:val="both"/>
        <w:rPr>
          <w:sz w:val="24"/>
          <w:szCs w:val="24"/>
          <w:u w:val="single"/>
        </w:rPr>
      </w:pPr>
      <w:r>
        <w:rPr>
          <w:sz w:val="24"/>
          <w:szCs w:val="24"/>
        </w:rPr>
        <w:t>地</w:t>
      </w:r>
      <w:r>
        <w:rPr>
          <w:sz w:val="24"/>
          <w:szCs w:val="24"/>
        </w:rPr>
        <w:tab/>
      </w:r>
      <w:r>
        <w:rPr>
          <w:sz w:val="24"/>
          <w:szCs w:val="24"/>
        </w:rPr>
        <w:t>址：</w:t>
      </w:r>
      <w:r>
        <w:rPr>
          <w:sz w:val="24"/>
          <w:szCs w:val="24"/>
          <w:u w:val="single"/>
        </w:rPr>
        <w:t xml:space="preserve"> </w:t>
      </w:r>
      <w:r>
        <w:rPr>
          <w:sz w:val="24"/>
          <w:szCs w:val="24"/>
          <w:u w:val="single"/>
        </w:rPr>
        <w:tab/>
      </w:r>
      <w:r>
        <w:rPr>
          <w:sz w:val="24"/>
          <w:szCs w:val="24"/>
          <w:u w:val="single"/>
        </w:rPr>
        <w:tab/>
      </w:r>
      <w:r>
        <w:rPr>
          <w:sz w:val="24"/>
          <w:szCs w:val="24"/>
          <w:u w:val="single"/>
        </w:rPr>
        <w:tab/>
      </w:r>
      <w:r>
        <w:rPr>
          <w:rFonts w:hint="eastAsia"/>
          <w:sz w:val="24"/>
          <w:szCs w:val="24"/>
          <w:u w:val="single"/>
          <w:lang w:val="en-US"/>
        </w:rPr>
        <w:t xml:space="preserve">                              </w:t>
      </w:r>
      <w:r>
        <w:rPr>
          <w:sz w:val="24"/>
          <w:szCs w:val="24"/>
          <w:u w:val="single"/>
        </w:rPr>
        <w:tab/>
      </w:r>
      <w:r>
        <w:rPr>
          <w:sz w:val="24"/>
          <w:szCs w:val="24"/>
          <w:u w:val="single"/>
        </w:rPr>
        <w:t xml:space="preserve"> </w:t>
      </w:r>
    </w:p>
    <w:p>
      <w:pPr>
        <w:spacing w:before="40" w:line="480" w:lineRule="auto"/>
        <w:jc w:val="both"/>
        <w:rPr>
          <w:sz w:val="24"/>
          <w:szCs w:val="24"/>
          <w:u w:val="single"/>
          <w:lang w:val="en-US"/>
        </w:rPr>
      </w:pPr>
      <w:r>
        <w:rPr>
          <w:sz w:val="24"/>
          <w:szCs w:val="24"/>
        </w:rPr>
        <w:t>成立时间：</w:t>
      </w:r>
      <w:r>
        <w:rPr>
          <w:sz w:val="24"/>
          <w:szCs w:val="24"/>
          <w:u w:val="single"/>
        </w:rPr>
        <w:t xml:space="preserve"> </w:t>
      </w:r>
      <w:r>
        <w:rPr>
          <w:sz w:val="24"/>
          <w:szCs w:val="24"/>
          <w:u w:val="single"/>
        </w:rPr>
        <w:tab/>
      </w:r>
      <w:r>
        <w:rPr>
          <w:rFonts w:hint="eastAsia"/>
          <w:sz w:val="24"/>
          <w:szCs w:val="24"/>
          <w:u w:val="single"/>
          <w:lang w:val="en-US"/>
        </w:rPr>
        <w:t xml:space="preserve">  </w:t>
      </w:r>
      <w:r>
        <w:rPr>
          <w:sz w:val="24"/>
          <w:szCs w:val="24"/>
          <w:u w:val="single"/>
        </w:rPr>
        <w:t xml:space="preserve">年 </w:t>
      </w:r>
      <w:r>
        <w:rPr>
          <w:rFonts w:hint="eastAsia"/>
          <w:sz w:val="24"/>
          <w:szCs w:val="24"/>
          <w:u w:val="single"/>
          <w:lang w:val="en-US"/>
        </w:rPr>
        <w:t xml:space="preserve">   </w:t>
      </w:r>
      <w:r>
        <w:rPr>
          <w:sz w:val="24"/>
          <w:szCs w:val="24"/>
          <w:u w:val="single"/>
        </w:rPr>
        <w:t>月</w:t>
      </w:r>
      <w:r>
        <w:rPr>
          <w:rFonts w:hint="eastAsia"/>
          <w:sz w:val="24"/>
          <w:szCs w:val="24"/>
          <w:u w:val="single"/>
          <w:lang w:val="en-US"/>
        </w:rPr>
        <w:t xml:space="preserve">    </w:t>
      </w:r>
      <w:r>
        <w:rPr>
          <w:sz w:val="24"/>
          <w:szCs w:val="24"/>
          <w:u w:val="single"/>
        </w:rPr>
        <w:t>日</w:t>
      </w:r>
      <w:r>
        <w:rPr>
          <w:rFonts w:hint="eastAsia"/>
          <w:sz w:val="24"/>
          <w:szCs w:val="24"/>
          <w:u w:val="single"/>
          <w:lang w:val="en-US"/>
        </w:rPr>
        <w:t xml:space="preserve">                          </w:t>
      </w:r>
    </w:p>
    <w:p>
      <w:pPr>
        <w:spacing w:before="40" w:line="480" w:lineRule="auto"/>
        <w:jc w:val="both"/>
        <w:rPr>
          <w:sz w:val="24"/>
          <w:szCs w:val="24"/>
          <w:lang w:val="en-US"/>
        </w:rPr>
      </w:pPr>
      <w:r>
        <w:rPr>
          <w:sz w:val="24"/>
          <w:szCs w:val="24"/>
        </w:rPr>
        <w:t>经营期限：</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 xml:space="preserve"> </w:t>
      </w:r>
      <w:r>
        <w:rPr>
          <w:rFonts w:hint="eastAsia"/>
          <w:sz w:val="24"/>
          <w:szCs w:val="24"/>
          <w:u w:val="single"/>
          <w:lang w:val="en-US"/>
        </w:rPr>
        <w:t xml:space="preserve">                        </w:t>
      </w:r>
      <w:r>
        <w:rPr>
          <w:sz w:val="24"/>
          <w:szCs w:val="24"/>
        </w:rPr>
        <w:t xml:space="preserve"> </w:t>
      </w:r>
      <w:r>
        <w:rPr>
          <w:rFonts w:hint="eastAsia"/>
          <w:sz w:val="24"/>
          <w:szCs w:val="24"/>
          <w:lang w:val="en-US"/>
        </w:rPr>
        <w:t xml:space="preserve">                                           </w:t>
      </w:r>
    </w:p>
    <w:p>
      <w:pPr>
        <w:spacing w:before="40" w:line="480" w:lineRule="auto"/>
        <w:jc w:val="both"/>
        <w:rPr>
          <w:sz w:val="24"/>
          <w:szCs w:val="24"/>
          <w:u w:val="single"/>
        </w:rPr>
      </w:pPr>
      <w:r>
        <w:rPr>
          <w:sz w:val="24"/>
          <w:szCs w:val="24"/>
        </w:rPr>
        <w:t>姓</w:t>
      </w:r>
      <w:r>
        <w:rPr>
          <w:sz w:val="24"/>
          <w:szCs w:val="24"/>
        </w:rPr>
        <w:tab/>
      </w:r>
      <w:r>
        <w:rPr>
          <w:sz w:val="24"/>
          <w:szCs w:val="24"/>
        </w:rPr>
        <w:t>名：</w:t>
      </w:r>
      <w:r>
        <w:rPr>
          <w:sz w:val="24"/>
          <w:szCs w:val="24"/>
          <w:u w:val="single"/>
        </w:rPr>
        <w:t xml:space="preserve"> </w:t>
      </w:r>
      <w:r>
        <w:rPr>
          <w:sz w:val="24"/>
          <w:szCs w:val="24"/>
          <w:u w:val="single"/>
        </w:rPr>
        <w:tab/>
      </w:r>
      <w:r>
        <w:rPr>
          <w:rFonts w:hint="eastAsia"/>
          <w:sz w:val="24"/>
          <w:szCs w:val="24"/>
          <w:u w:val="single"/>
          <w:lang w:val="en-US"/>
        </w:rPr>
        <w:t xml:space="preserve">      </w:t>
      </w:r>
      <w:r>
        <w:rPr>
          <w:sz w:val="24"/>
          <w:szCs w:val="24"/>
        </w:rPr>
        <w:t>性别：</w:t>
      </w:r>
      <w:r>
        <w:rPr>
          <w:sz w:val="24"/>
          <w:szCs w:val="24"/>
          <w:u w:val="single"/>
        </w:rPr>
        <w:t xml:space="preserve"> </w:t>
      </w:r>
      <w:r>
        <w:rPr>
          <w:rFonts w:hint="eastAsia"/>
          <w:sz w:val="24"/>
          <w:szCs w:val="24"/>
          <w:u w:val="single"/>
          <w:lang w:val="en-US"/>
        </w:rPr>
        <w:t xml:space="preserve"> </w:t>
      </w:r>
      <w:r>
        <w:rPr>
          <w:sz w:val="24"/>
          <w:szCs w:val="24"/>
          <w:u w:val="single"/>
        </w:rPr>
        <w:tab/>
      </w:r>
      <w:r>
        <w:rPr>
          <w:rFonts w:hint="eastAsia"/>
          <w:sz w:val="24"/>
          <w:szCs w:val="24"/>
          <w:u w:val="single"/>
          <w:lang w:val="en-US"/>
        </w:rPr>
        <w:t xml:space="preserve">   </w:t>
      </w:r>
      <w:r>
        <w:rPr>
          <w:sz w:val="24"/>
          <w:szCs w:val="24"/>
        </w:rPr>
        <w:t>年龄：</w:t>
      </w:r>
      <w:r>
        <w:rPr>
          <w:sz w:val="24"/>
          <w:szCs w:val="24"/>
          <w:u w:val="single"/>
        </w:rPr>
        <w:t xml:space="preserve"> </w:t>
      </w:r>
      <w:r>
        <w:rPr>
          <w:sz w:val="24"/>
          <w:szCs w:val="24"/>
          <w:u w:val="single"/>
        </w:rPr>
        <w:tab/>
      </w:r>
      <w:r>
        <w:rPr>
          <w:rFonts w:hint="eastAsia"/>
          <w:sz w:val="24"/>
          <w:szCs w:val="24"/>
          <w:u w:val="single"/>
          <w:lang w:val="en-US"/>
        </w:rPr>
        <w:t xml:space="preserve">    </w:t>
      </w:r>
      <w:r>
        <w:rPr>
          <w:sz w:val="24"/>
          <w:szCs w:val="24"/>
        </w:rPr>
        <w:t>职务：</w:t>
      </w:r>
      <w:r>
        <w:rPr>
          <w:sz w:val="24"/>
          <w:szCs w:val="24"/>
          <w:u w:val="single"/>
        </w:rPr>
        <w:t xml:space="preserve"> </w:t>
      </w:r>
      <w:r>
        <w:rPr>
          <w:rFonts w:hint="eastAsia"/>
          <w:sz w:val="24"/>
          <w:szCs w:val="24"/>
          <w:u w:val="single"/>
          <w:lang w:val="en-US"/>
        </w:rPr>
        <w:t xml:space="preserve">   </w:t>
      </w:r>
      <w:r>
        <w:rPr>
          <w:sz w:val="24"/>
          <w:szCs w:val="24"/>
          <w:u w:val="single"/>
        </w:rPr>
        <w:tab/>
      </w:r>
    </w:p>
    <w:p>
      <w:pPr>
        <w:spacing w:before="40" w:line="480" w:lineRule="auto"/>
        <w:jc w:val="both"/>
        <w:rPr>
          <w:sz w:val="24"/>
          <w:szCs w:val="24"/>
        </w:rPr>
      </w:pPr>
      <w:r>
        <w:rPr>
          <w:sz w:val="24"/>
          <w:szCs w:val="24"/>
        </w:rPr>
        <w:t xml:space="preserve">系 </w:t>
      </w:r>
      <w:r>
        <w:rPr>
          <w:sz w:val="24"/>
          <w:szCs w:val="24"/>
          <w:u w:val="single"/>
        </w:rPr>
        <w:tab/>
      </w:r>
      <w:r>
        <w:rPr>
          <w:sz w:val="24"/>
          <w:szCs w:val="24"/>
          <w:u w:val="single"/>
        </w:rPr>
        <w:tab/>
      </w:r>
      <w:r>
        <w:rPr>
          <w:rFonts w:hint="eastAsia"/>
          <w:sz w:val="24"/>
          <w:szCs w:val="24"/>
          <w:u w:val="single"/>
          <w:lang w:val="en-US"/>
        </w:rPr>
        <w:t xml:space="preserve"> </w:t>
      </w:r>
      <w:r>
        <w:rPr>
          <w:sz w:val="24"/>
          <w:szCs w:val="24"/>
        </w:rPr>
        <w:t>（投标人名称）的法定代表人。特此证明。</w:t>
      </w:r>
    </w:p>
    <w:p>
      <w:pPr>
        <w:spacing w:before="40"/>
        <w:rPr>
          <w:sz w:val="24"/>
          <w:szCs w:val="24"/>
        </w:rPr>
      </w:pPr>
    </w:p>
    <w:p>
      <w:pPr>
        <w:spacing w:before="40"/>
        <w:rPr>
          <w:sz w:val="24"/>
          <w:szCs w:val="24"/>
        </w:rPr>
      </w:pPr>
    </w:p>
    <w:p>
      <w:pPr>
        <w:spacing w:before="40"/>
        <w:rPr>
          <w:sz w:val="24"/>
          <w:szCs w:val="24"/>
        </w:rPr>
      </w:pPr>
    </w:p>
    <w:p>
      <w:pPr>
        <w:spacing w:before="40"/>
        <w:rPr>
          <w:sz w:val="24"/>
          <w:szCs w:val="24"/>
        </w:rPr>
      </w:pPr>
    </w:p>
    <w:p>
      <w:pPr>
        <w:spacing w:before="40" w:line="360" w:lineRule="auto"/>
        <w:jc w:val="right"/>
        <w:rPr>
          <w:sz w:val="24"/>
          <w:szCs w:val="24"/>
        </w:rPr>
      </w:pPr>
      <w:r>
        <w:rPr>
          <w:sz w:val="24"/>
          <w:szCs w:val="24"/>
        </w:rPr>
        <w:t>投标人：</w:t>
      </w:r>
      <w:r>
        <w:rPr>
          <w:sz w:val="24"/>
          <w:szCs w:val="24"/>
          <w:u w:val="single"/>
        </w:rPr>
        <w:t xml:space="preserve"> </w:t>
      </w:r>
      <w:r>
        <w:rPr>
          <w:rFonts w:hint="eastAsia"/>
          <w:sz w:val="24"/>
          <w:szCs w:val="24"/>
          <w:u w:val="single"/>
          <w:lang w:val="en-US"/>
        </w:rPr>
        <w:t xml:space="preserve">   </w:t>
      </w:r>
      <w:r>
        <w:rPr>
          <w:sz w:val="24"/>
          <w:szCs w:val="24"/>
          <w:u w:val="single"/>
        </w:rPr>
        <w:tab/>
      </w:r>
      <w:r>
        <w:rPr>
          <w:rFonts w:hint="eastAsia"/>
          <w:sz w:val="24"/>
          <w:szCs w:val="24"/>
          <w:u w:val="single"/>
          <w:lang w:val="en-US"/>
        </w:rPr>
        <w:t xml:space="preserve">       </w:t>
      </w:r>
      <w:r>
        <w:rPr>
          <w:sz w:val="24"/>
          <w:szCs w:val="24"/>
        </w:rPr>
        <w:t>（电子签章）</w:t>
      </w:r>
    </w:p>
    <w:p>
      <w:pPr>
        <w:spacing w:before="40" w:line="360" w:lineRule="auto"/>
        <w:jc w:val="right"/>
        <w:rPr>
          <w:sz w:val="24"/>
          <w:szCs w:val="24"/>
        </w:rPr>
      </w:pPr>
      <w:r>
        <w:rPr>
          <w:sz w:val="24"/>
          <w:szCs w:val="24"/>
        </w:rPr>
        <w:t xml:space="preserve"> </w:t>
      </w:r>
      <w:r>
        <w:rPr>
          <w:sz w:val="24"/>
          <w:szCs w:val="24"/>
        </w:rPr>
        <w:tab/>
      </w:r>
      <w:r>
        <w:rPr>
          <w:sz w:val="24"/>
          <w:szCs w:val="24"/>
        </w:rPr>
        <w:t xml:space="preserve">年 </w:t>
      </w:r>
      <w:r>
        <w:rPr>
          <w:sz w:val="24"/>
          <w:szCs w:val="24"/>
        </w:rPr>
        <w:tab/>
      </w:r>
      <w:r>
        <w:rPr>
          <w:sz w:val="24"/>
          <w:szCs w:val="24"/>
        </w:rPr>
        <w:t xml:space="preserve">月 </w:t>
      </w:r>
      <w:r>
        <w:rPr>
          <w:sz w:val="24"/>
          <w:szCs w:val="24"/>
        </w:rPr>
        <w:tab/>
      </w:r>
      <w:r>
        <w:rPr>
          <w:sz w:val="24"/>
          <w:szCs w:val="24"/>
        </w:rPr>
        <w:t>日</w:t>
      </w:r>
    </w:p>
    <w:p>
      <w:pPr>
        <w:rPr>
          <w:sz w:val="28"/>
          <w:szCs w:val="28"/>
        </w:rPr>
      </w:pPr>
      <w:r>
        <w:rPr>
          <w:sz w:val="28"/>
          <w:szCs w:val="28"/>
        </w:rPr>
        <w:br w:type="page"/>
      </w:r>
    </w:p>
    <w:p>
      <w:pPr>
        <w:pStyle w:val="4"/>
        <w:spacing w:before="40"/>
        <w:rPr>
          <w:sz w:val="28"/>
          <w:szCs w:val="28"/>
        </w:rPr>
      </w:pPr>
      <w:bookmarkStart w:id="33" w:name="_Toc13266"/>
      <w:r>
        <w:rPr>
          <w:sz w:val="28"/>
          <w:szCs w:val="28"/>
        </w:rPr>
        <w:t>三、授权委托书</w:t>
      </w:r>
      <w:bookmarkEnd w:id="33"/>
    </w:p>
    <w:p>
      <w:pPr>
        <w:pStyle w:val="4"/>
        <w:spacing w:before="40"/>
        <w:rPr>
          <w:sz w:val="28"/>
          <w:szCs w:val="28"/>
        </w:rPr>
      </w:pPr>
    </w:p>
    <w:p>
      <w:pPr>
        <w:pStyle w:val="4"/>
        <w:spacing w:before="40"/>
        <w:rPr>
          <w:sz w:val="28"/>
          <w:szCs w:val="28"/>
        </w:rPr>
      </w:pPr>
    </w:p>
    <w:p>
      <w:pPr>
        <w:spacing w:line="480" w:lineRule="auto"/>
        <w:ind w:firstLine="480" w:firstLineChars="200"/>
        <w:rPr>
          <w:sz w:val="24"/>
          <w:szCs w:val="24"/>
        </w:rPr>
      </w:pPr>
      <w:r>
        <w:rPr>
          <w:sz w:val="24"/>
          <w:szCs w:val="24"/>
        </w:rPr>
        <w:t xml:space="preserve">本人 </w:t>
      </w:r>
      <w:r>
        <w:rPr>
          <w:sz w:val="24"/>
          <w:szCs w:val="24"/>
          <w:u w:val="single"/>
        </w:rPr>
        <w:t xml:space="preserve">  </w:t>
      </w:r>
      <w:r>
        <w:rPr>
          <w:rFonts w:hint="eastAsia"/>
          <w:sz w:val="24"/>
          <w:szCs w:val="24"/>
          <w:u w:val="single"/>
          <w:lang w:val="en-US"/>
        </w:rPr>
        <w:t xml:space="preserve">      </w:t>
      </w:r>
      <w:r>
        <w:rPr>
          <w:sz w:val="24"/>
          <w:szCs w:val="24"/>
          <w:u w:val="single"/>
        </w:rPr>
        <w:t xml:space="preserve">  </w:t>
      </w:r>
      <w:r>
        <w:rPr>
          <w:sz w:val="24"/>
          <w:szCs w:val="24"/>
        </w:rPr>
        <w:t xml:space="preserve">（姓名）系 </w:t>
      </w:r>
      <w:r>
        <w:rPr>
          <w:sz w:val="24"/>
          <w:szCs w:val="24"/>
          <w:u w:val="single"/>
        </w:rPr>
        <w:tab/>
      </w:r>
      <w:r>
        <w:rPr>
          <w:rFonts w:hint="eastAsia"/>
          <w:sz w:val="24"/>
          <w:szCs w:val="24"/>
          <w:u w:val="single"/>
          <w:lang w:val="en-US"/>
        </w:rPr>
        <w:t xml:space="preserve">               </w:t>
      </w:r>
      <w:r>
        <w:rPr>
          <w:sz w:val="24"/>
          <w:szCs w:val="24"/>
        </w:rPr>
        <w:t>（投标人名称）的法定代表人，现委托</w:t>
      </w:r>
      <w:r>
        <w:rPr>
          <w:rFonts w:hint="eastAsia"/>
          <w:sz w:val="24"/>
          <w:szCs w:val="24"/>
          <w:lang w:val="en-US"/>
        </w:rPr>
        <w:t xml:space="preserve"> </w:t>
      </w:r>
      <w:r>
        <w:rPr>
          <w:rFonts w:hint="eastAsia"/>
          <w:sz w:val="24"/>
          <w:szCs w:val="24"/>
          <w:u w:val="single"/>
          <w:lang w:val="en-US"/>
        </w:rPr>
        <w:t xml:space="preserve">   </w:t>
      </w:r>
      <w:r>
        <w:rPr>
          <w:sz w:val="24"/>
          <w:szCs w:val="24"/>
          <w:u w:val="single"/>
        </w:rPr>
        <w:t xml:space="preserve"> </w:t>
      </w:r>
      <w:r>
        <w:rPr>
          <w:rFonts w:hint="eastAsia"/>
          <w:sz w:val="24"/>
          <w:szCs w:val="24"/>
          <w:u w:val="single"/>
          <w:lang w:val="en-US"/>
        </w:rPr>
        <w:t xml:space="preserve">   </w:t>
      </w:r>
      <w:r>
        <w:rPr>
          <w:sz w:val="24"/>
          <w:szCs w:val="24"/>
          <w:u w:val="single"/>
        </w:rPr>
        <w:tab/>
      </w:r>
      <w:r>
        <w:rPr>
          <w:sz w:val="24"/>
          <w:szCs w:val="24"/>
        </w:rPr>
        <w:t>（姓名）为我方代理人。代理人根据授权，以我方名义签署、澄清、说明、补正、递交、撤回、修改</w:t>
      </w:r>
      <w:r>
        <w:rPr>
          <w:sz w:val="24"/>
          <w:szCs w:val="24"/>
          <w:u w:val="single"/>
        </w:rPr>
        <w:t xml:space="preserve"> </w:t>
      </w:r>
      <w:r>
        <w:rPr>
          <w:rFonts w:hint="eastAsia"/>
          <w:sz w:val="24"/>
          <w:szCs w:val="24"/>
          <w:u w:val="single"/>
          <w:lang w:val="en-US"/>
        </w:rPr>
        <w:t xml:space="preserve">                </w:t>
      </w:r>
      <w:r>
        <w:rPr>
          <w:sz w:val="24"/>
          <w:szCs w:val="24"/>
          <w:u w:val="single"/>
        </w:rPr>
        <w:tab/>
      </w:r>
      <w:r>
        <w:rPr>
          <w:sz w:val="24"/>
          <w:szCs w:val="24"/>
        </w:rPr>
        <w:t>（项目名称）投标文件、签订合同和处理有关事宜，其法律后果由我方承担。</w:t>
      </w:r>
    </w:p>
    <w:p>
      <w:pPr>
        <w:spacing w:line="480" w:lineRule="auto"/>
        <w:rPr>
          <w:sz w:val="24"/>
          <w:szCs w:val="24"/>
        </w:rPr>
      </w:pPr>
      <w:r>
        <w:rPr>
          <w:sz w:val="24"/>
          <w:szCs w:val="24"/>
        </w:rPr>
        <w:t xml:space="preserve">委托期限： </w:t>
      </w:r>
      <w:r>
        <w:rPr>
          <w:sz w:val="24"/>
          <w:szCs w:val="24"/>
        </w:rPr>
        <w:tab/>
      </w:r>
      <w:r>
        <w:rPr>
          <w:sz w:val="24"/>
          <w:szCs w:val="24"/>
        </w:rPr>
        <w:t xml:space="preserve"> </w:t>
      </w:r>
    </w:p>
    <w:p>
      <w:pPr>
        <w:spacing w:line="480" w:lineRule="auto"/>
        <w:rPr>
          <w:sz w:val="24"/>
          <w:szCs w:val="24"/>
        </w:rPr>
      </w:pPr>
      <w:r>
        <w:rPr>
          <w:sz w:val="24"/>
          <w:szCs w:val="24"/>
        </w:rPr>
        <w:t>代理人无转委托权。</w:t>
      </w:r>
    </w:p>
    <w:p>
      <w:pPr>
        <w:spacing w:line="480" w:lineRule="auto"/>
        <w:rPr>
          <w:sz w:val="24"/>
          <w:szCs w:val="24"/>
        </w:rPr>
      </w:pPr>
    </w:p>
    <w:p>
      <w:pPr>
        <w:spacing w:line="480" w:lineRule="auto"/>
        <w:rPr>
          <w:sz w:val="24"/>
          <w:szCs w:val="24"/>
        </w:rPr>
      </w:pPr>
      <w:r>
        <w:rPr>
          <w:sz w:val="24"/>
          <w:szCs w:val="24"/>
        </w:rPr>
        <w:t>附：法定代表人及授权委托代理人身份证明</w:t>
      </w:r>
    </w:p>
    <w:p>
      <w:pPr>
        <w:spacing w:before="40"/>
        <w:rPr>
          <w:sz w:val="24"/>
          <w:szCs w:val="24"/>
        </w:rPr>
      </w:pPr>
    </w:p>
    <w:p>
      <w:pPr>
        <w:spacing w:before="40"/>
        <w:rPr>
          <w:sz w:val="24"/>
          <w:szCs w:val="24"/>
        </w:rPr>
      </w:pPr>
    </w:p>
    <w:p>
      <w:pPr>
        <w:spacing w:before="40"/>
        <w:rPr>
          <w:sz w:val="24"/>
          <w:szCs w:val="24"/>
        </w:rPr>
      </w:pPr>
    </w:p>
    <w:p>
      <w:pPr>
        <w:spacing w:before="40" w:line="480" w:lineRule="auto"/>
        <w:jc w:val="both"/>
        <w:rPr>
          <w:sz w:val="24"/>
          <w:szCs w:val="24"/>
        </w:rPr>
      </w:pPr>
      <w:r>
        <w:rPr>
          <w:sz w:val="24"/>
          <w:szCs w:val="24"/>
        </w:rPr>
        <w:t>投标人：</w:t>
      </w:r>
      <w:r>
        <w:rPr>
          <w:rFonts w:hint="eastAsia"/>
          <w:sz w:val="24"/>
          <w:szCs w:val="24"/>
          <w:u w:val="single"/>
          <w:lang w:val="en-US"/>
        </w:rPr>
        <w:t xml:space="preserve">                </w:t>
      </w:r>
      <w:r>
        <w:rPr>
          <w:sz w:val="24"/>
          <w:szCs w:val="24"/>
        </w:rPr>
        <w:t xml:space="preserve">（电子签章） </w:t>
      </w:r>
    </w:p>
    <w:p>
      <w:pPr>
        <w:spacing w:before="40" w:line="480" w:lineRule="auto"/>
        <w:jc w:val="both"/>
        <w:rPr>
          <w:sz w:val="24"/>
          <w:szCs w:val="24"/>
        </w:rPr>
      </w:pPr>
      <w:r>
        <w:rPr>
          <w:sz w:val="24"/>
          <w:szCs w:val="24"/>
        </w:rPr>
        <w:t>法定代表人：</w:t>
      </w:r>
      <w:r>
        <w:rPr>
          <w:rFonts w:hint="eastAsia"/>
          <w:sz w:val="24"/>
          <w:szCs w:val="24"/>
          <w:u w:val="single"/>
          <w:lang w:val="en-US"/>
        </w:rPr>
        <w:t xml:space="preserve">                </w:t>
      </w:r>
      <w:r>
        <w:rPr>
          <w:sz w:val="24"/>
          <w:szCs w:val="24"/>
        </w:rPr>
        <w:t>（</w:t>
      </w:r>
      <w:r>
        <w:rPr>
          <w:rFonts w:hint="eastAsia"/>
          <w:sz w:val="24"/>
          <w:szCs w:val="24"/>
        </w:rPr>
        <w:t>签字或电子签名</w:t>
      </w:r>
      <w:r>
        <w:rPr>
          <w:sz w:val="24"/>
          <w:szCs w:val="24"/>
        </w:rPr>
        <w:t xml:space="preserve">） </w:t>
      </w:r>
    </w:p>
    <w:p>
      <w:pPr>
        <w:spacing w:before="40" w:line="480" w:lineRule="auto"/>
        <w:rPr>
          <w:sz w:val="24"/>
          <w:szCs w:val="24"/>
          <w:lang w:val="en-US"/>
        </w:rPr>
      </w:pPr>
      <w:r>
        <w:rPr>
          <w:sz w:val="24"/>
          <w:szCs w:val="24"/>
        </w:rPr>
        <w:t>身份证号码：</w:t>
      </w:r>
      <w:r>
        <w:rPr>
          <w:rFonts w:hint="eastAsia"/>
          <w:sz w:val="24"/>
          <w:szCs w:val="24"/>
          <w:u w:val="single"/>
          <w:lang w:val="en-US"/>
        </w:rPr>
        <w:t xml:space="preserve">                    </w:t>
      </w:r>
    </w:p>
    <w:p>
      <w:pPr>
        <w:spacing w:before="40" w:line="480" w:lineRule="auto"/>
        <w:jc w:val="both"/>
        <w:rPr>
          <w:sz w:val="24"/>
          <w:szCs w:val="24"/>
        </w:rPr>
      </w:pPr>
      <w:r>
        <w:rPr>
          <w:sz w:val="24"/>
          <w:szCs w:val="24"/>
        </w:rPr>
        <w:t>委托代理人：</w:t>
      </w:r>
      <w:r>
        <w:rPr>
          <w:rFonts w:hint="eastAsia"/>
          <w:sz w:val="24"/>
          <w:szCs w:val="24"/>
          <w:u w:val="single"/>
          <w:lang w:val="en-US"/>
        </w:rPr>
        <w:t xml:space="preserve">                </w:t>
      </w:r>
      <w:r>
        <w:rPr>
          <w:sz w:val="24"/>
          <w:szCs w:val="24"/>
        </w:rPr>
        <w:t>（</w:t>
      </w:r>
      <w:r>
        <w:rPr>
          <w:rFonts w:hint="eastAsia"/>
          <w:sz w:val="24"/>
          <w:szCs w:val="24"/>
        </w:rPr>
        <w:t>签字或电子签名</w:t>
      </w:r>
      <w:r>
        <w:rPr>
          <w:sz w:val="24"/>
          <w:szCs w:val="24"/>
        </w:rPr>
        <w:t xml:space="preserve">） </w:t>
      </w:r>
    </w:p>
    <w:p>
      <w:pPr>
        <w:spacing w:before="40" w:line="480" w:lineRule="auto"/>
        <w:rPr>
          <w:sz w:val="24"/>
          <w:szCs w:val="24"/>
          <w:lang w:val="en-US"/>
        </w:rPr>
      </w:pPr>
      <w:r>
        <w:rPr>
          <w:sz w:val="24"/>
          <w:szCs w:val="24"/>
        </w:rPr>
        <w:t>身份证号码：</w:t>
      </w:r>
      <w:r>
        <w:rPr>
          <w:rFonts w:hint="eastAsia"/>
          <w:sz w:val="24"/>
          <w:szCs w:val="24"/>
          <w:u w:val="single"/>
          <w:lang w:val="en-US"/>
        </w:rPr>
        <w:t xml:space="preserve">                      </w:t>
      </w:r>
    </w:p>
    <w:p>
      <w:pPr>
        <w:spacing w:before="40" w:line="480" w:lineRule="auto"/>
        <w:jc w:val="right"/>
        <w:rPr>
          <w:sz w:val="24"/>
          <w:szCs w:val="24"/>
        </w:rPr>
      </w:pPr>
    </w:p>
    <w:p>
      <w:pPr>
        <w:spacing w:before="40" w:line="480" w:lineRule="auto"/>
        <w:ind w:firstLine="480" w:firstLineChars="200"/>
        <w:rPr>
          <w:sz w:val="24"/>
          <w:szCs w:val="24"/>
        </w:rPr>
      </w:pPr>
      <w:r>
        <w:rPr>
          <w:rFonts w:hint="eastAsia"/>
          <w:sz w:val="24"/>
          <w:szCs w:val="24"/>
          <w:lang w:val="en-US"/>
        </w:rPr>
        <w:t xml:space="preserve">                           </w:t>
      </w:r>
      <w:r>
        <w:rPr>
          <w:sz w:val="24"/>
          <w:szCs w:val="24"/>
        </w:rPr>
        <w:t>年</w:t>
      </w:r>
      <w:r>
        <w:rPr>
          <w:rFonts w:hint="eastAsia"/>
          <w:sz w:val="24"/>
          <w:szCs w:val="24"/>
          <w:lang w:val="en-US"/>
        </w:rPr>
        <w:t xml:space="preserve">   </w:t>
      </w:r>
      <w:r>
        <w:rPr>
          <w:sz w:val="24"/>
          <w:szCs w:val="24"/>
        </w:rPr>
        <w:t>月</w:t>
      </w:r>
      <w:r>
        <w:rPr>
          <w:rFonts w:hint="eastAsia"/>
          <w:sz w:val="24"/>
          <w:szCs w:val="24"/>
          <w:lang w:val="en-US"/>
        </w:rPr>
        <w:t xml:space="preserve">   </w:t>
      </w:r>
      <w:r>
        <w:rPr>
          <w:sz w:val="24"/>
          <w:szCs w:val="24"/>
        </w:rPr>
        <w:t>日</w:t>
      </w:r>
    </w:p>
    <w:p>
      <w:pPr>
        <w:rPr>
          <w:sz w:val="28"/>
          <w:szCs w:val="28"/>
        </w:rPr>
      </w:pPr>
      <w:r>
        <w:rPr>
          <w:sz w:val="28"/>
          <w:szCs w:val="28"/>
        </w:rPr>
        <w:br w:type="page"/>
      </w:r>
    </w:p>
    <w:p>
      <w:pPr>
        <w:pStyle w:val="4"/>
        <w:spacing w:before="40"/>
        <w:rPr>
          <w:sz w:val="28"/>
          <w:szCs w:val="28"/>
        </w:rPr>
      </w:pPr>
      <w:bookmarkStart w:id="34" w:name="_Toc26050"/>
      <w:r>
        <w:rPr>
          <w:sz w:val="28"/>
          <w:szCs w:val="28"/>
        </w:rPr>
        <w:t>四、</w:t>
      </w:r>
      <w:r>
        <w:rPr>
          <w:rFonts w:hint="eastAsia"/>
          <w:sz w:val="28"/>
          <w:szCs w:val="28"/>
        </w:rPr>
        <w:t>技术部分</w:t>
      </w:r>
      <w:bookmarkEnd w:id="34"/>
    </w:p>
    <w:p>
      <w:pPr>
        <w:spacing w:before="40"/>
        <w:rPr>
          <w:sz w:val="24"/>
          <w:szCs w:val="24"/>
        </w:rPr>
      </w:pPr>
    </w:p>
    <w:p>
      <w:pPr>
        <w:spacing w:before="40"/>
        <w:rPr>
          <w:sz w:val="24"/>
          <w:szCs w:val="24"/>
        </w:rPr>
      </w:pPr>
      <w:r>
        <w:rPr>
          <w:sz w:val="24"/>
          <w:szCs w:val="24"/>
        </w:rPr>
        <w:t>根据评分办法中的评审因素编制</w:t>
      </w:r>
      <w:r>
        <w:rPr>
          <w:rFonts w:hint="eastAsia"/>
          <w:sz w:val="24"/>
          <w:szCs w:val="24"/>
        </w:rPr>
        <w:t>（包含但不限于</w:t>
      </w:r>
      <w:r>
        <w:rPr>
          <w:rFonts w:hint="eastAsia"/>
          <w:sz w:val="24"/>
        </w:rPr>
        <w:t>技术指标、技术方案、质控方案、技术能力、服务能力、服务方案等内容</w:t>
      </w:r>
      <w:r>
        <w:rPr>
          <w:rFonts w:hint="eastAsia"/>
          <w:sz w:val="24"/>
          <w:szCs w:val="24"/>
        </w:rPr>
        <w:t>），格式自拟</w:t>
      </w:r>
    </w:p>
    <w:p>
      <w:pPr>
        <w:pStyle w:val="4"/>
        <w:spacing w:before="40"/>
        <w:rPr>
          <w:sz w:val="28"/>
          <w:szCs w:val="28"/>
        </w:rPr>
        <w:sectPr>
          <w:pgSz w:w="11910" w:h="16840"/>
          <w:pgMar w:top="1361" w:right="1417" w:bottom="1361" w:left="1417" w:header="0" w:footer="913" w:gutter="0"/>
          <w:cols w:space="425" w:num="1"/>
        </w:sectPr>
      </w:pPr>
    </w:p>
    <w:p>
      <w:pPr>
        <w:pStyle w:val="4"/>
        <w:spacing w:before="0" w:line="360" w:lineRule="auto"/>
        <w:ind w:left="0" w:right="0"/>
        <w:rPr>
          <w:sz w:val="28"/>
          <w:szCs w:val="28"/>
        </w:rPr>
      </w:pPr>
      <w:bookmarkStart w:id="35" w:name="_Toc9513"/>
      <w:r>
        <w:rPr>
          <w:sz w:val="28"/>
          <w:szCs w:val="28"/>
        </w:rPr>
        <w:t>五、项目管理机构（格式自拟）</w:t>
      </w:r>
      <w:bookmarkEnd w:id="35"/>
    </w:p>
    <w:p>
      <w:pPr>
        <w:pStyle w:val="4"/>
        <w:spacing w:before="40"/>
        <w:ind w:left="0"/>
        <w:jc w:val="left"/>
        <w:rPr>
          <w:b w:val="0"/>
          <w:bCs w:val="0"/>
          <w:sz w:val="24"/>
          <w:szCs w:val="24"/>
        </w:rPr>
      </w:pPr>
    </w:p>
    <w:p>
      <w:pPr>
        <w:rPr>
          <w:sz w:val="28"/>
          <w:szCs w:val="28"/>
        </w:rPr>
      </w:pPr>
      <w:r>
        <w:rPr>
          <w:rFonts w:hint="eastAsia"/>
          <w:sz w:val="24"/>
          <w:szCs w:val="24"/>
        </w:rPr>
        <w:t>备注：后附相关人员证书扫描件，包含但不限于职称证、执业证、毕业证等相关资料</w:t>
      </w:r>
      <w:r>
        <w:rPr>
          <w:sz w:val="28"/>
          <w:szCs w:val="28"/>
        </w:rPr>
        <w:t>。</w:t>
      </w:r>
    </w:p>
    <w:p>
      <w:pPr>
        <w:spacing w:before="40"/>
        <w:rPr>
          <w:sz w:val="28"/>
          <w:szCs w:val="28"/>
        </w:rPr>
        <w:sectPr>
          <w:pgSz w:w="11910" w:h="16840"/>
          <w:pgMar w:top="1361" w:right="1417" w:bottom="1361" w:left="1417" w:header="0" w:footer="913" w:gutter="0"/>
          <w:cols w:space="425" w:num="1"/>
        </w:sectPr>
      </w:pPr>
    </w:p>
    <w:p>
      <w:pPr>
        <w:pStyle w:val="4"/>
        <w:spacing w:before="40"/>
        <w:rPr>
          <w:sz w:val="28"/>
          <w:szCs w:val="28"/>
        </w:rPr>
      </w:pPr>
      <w:bookmarkStart w:id="36" w:name="_Toc28742"/>
      <w:r>
        <w:rPr>
          <w:sz w:val="28"/>
          <w:szCs w:val="28"/>
        </w:rPr>
        <w:t>六、资格审查相关资料</w:t>
      </w:r>
      <w:bookmarkEnd w:id="36"/>
    </w:p>
    <w:p>
      <w:pPr>
        <w:pStyle w:val="4"/>
        <w:spacing w:before="40"/>
        <w:rPr>
          <w:sz w:val="28"/>
          <w:szCs w:val="28"/>
        </w:rPr>
      </w:pPr>
    </w:p>
    <w:p>
      <w:pPr>
        <w:pStyle w:val="4"/>
        <w:spacing w:before="40"/>
        <w:rPr>
          <w:sz w:val="28"/>
          <w:szCs w:val="28"/>
        </w:rPr>
        <w:sectPr>
          <w:pgSz w:w="11910" w:h="16840"/>
          <w:pgMar w:top="1361" w:right="1417" w:bottom="1361" w:left="1417" w:header="0" w:footer="913" w:gutter="0"/>
          <w:cols w:space="425" w:num="1"/>
        </w:sectPr>
      </w:pPr>
    </w:p>
    <w:p>
      <w:pPr>
        <w:pStyle w:val="4"/>
        <w:spacing w:before="0" w:line="360" w:lineRule="auto"/>
        <w:ind w:left="0" w:right="0"/>
        <w:rPr>
          <w:sz w:val="28"/>
          <w:szCs w:val="28"/>
        </w:rPr>
      </w:pPr>
      <w:bookmarkStart w:id="37" w:name="_Toc23232"/>
      <w:r>
        <w:rPr>
          <w:sz w:val="28"/>
          <w:szCs w:val="28"/>
        </w:rPr>
        <w:t>七、投标承诺函</w:t>
      </w:r>
      <w:bookmarkEnd w:id="37"/>
    </w:p>
    <w:p>
      <w:pPr>
        <w:spacing w:line="360" w:lineRule="auto"/>
        <w:rPr>
          <w:sz w:val="24"/>
          <w:szCs w:val="24"/>
        </w:rPr>
      </w:pPr>
      <w:r>
        <w:rPr>
          <w:sz w:val="24"/>
          <w:szCs w:val="24"/>
        </w:rPr>
        <w:t>致</w:t>
      </w:r>
      <w:r>
        <w:rPr>
          <w:rFonts w:hint="eastAsia"/>
          <w:sz w:val="24"/>
          <w:szCs w:val="24"/>
          <w:u w:val="single"/>
          <w:lang w:val="en-US"/>
        </w:rPr>
        <w:t xml:space="preserve">                       </w:t>
      </w:r>
      <w:r>
        <w:rPr>
          <w:sz w:val="24"/>
          <w:szCs w:val="24"/>
        </w:rPr>
        <w:t>（采购人及采购代理机构）：</w:t>
      </w:r>
    </w:p>
    <w:p>
      <w:pPr>
        <w:spacing w:line="360" w:lineRule="auto"/>
        <w:ind w:firstLine="480" w:firstLineChars="200"/>
        <w:rPr>
          <w:sz w:val="24"/>
          <w:szCs w:val="24"/>
        </w:rPr>
      </w:pPr>
      <w:r>
        <w:rPr>
          <w:sz w:val="24"/>
          <w:szCs w:val="24"/>
        </w:rPr>
        <w:t>我公司作为本次采购项目的投标人，根据招标文件要求，现郑重承诺如下：</w:t>
      </w:r>
    </w:p>
    <w:p>
      <w:pPr>
        <w:spacing w:line="360" w:lineRule="auto"/>
        <w:ind w:firstLine="480" w:firstLineChars="200"/>
        <w:rPr>
          <w:sz w:val="24"/>
          <w:szCs w:val="24"/>
        </w:rPr>
      </w:pPr>
      <w:r>
        <w:rPr>
          <w:sz w:val="24"/>
          <w:szCs w:val="24"/>
        </w:rPr>
        <w:t>一、具备《中华人民共和国政府采购法》第二十二条第一款和本项目规定的条件：</w:t>
      </w:r>
    </w:p>
    <w:p>
      <w:pPr>
        <w:spacing w:line="360" w:lineRule="auto"/>
        <w:ind w:firstLine="480" w:firstLineChars="200"/>
        <w:rPr>
          <w:sz w:val="24"/>
          <w:szCs w:val="24"/>
        </w:rPr>
      </w:pPr>
      <w:r>
        <w:rPr>
          <w:sz w:val="24"/>
          <w:szCs w:val="24"/>
        </w:rPr>
        <w:t>（一）具有独立承担民事责任的能力；</w:t>
      </w:r>
    </w:p>
    <w:p>
      <w:pPr>
        <w:spacing w:line="360" w:lineRule="auto"/>
        <w:ind w:firstLine="480" w:firstLineChars="200"/>
        <w:rPr>
          <w:sz w:val="24"/>
          <w:szCs w:val="24"/>
        </w:rPr>
      </w:pPr>
      <w:r>
        <w:rPr>
          <w:sz w:val="24"/>
          <w:szCs w:val="24"/>
        </w:rPr>
        <w:t>（二）具有良好的商业信誉和健全的财务会计制度；</w:t>
      </w:r>
    </w:p>
    <w:p>
      <w:pPr>
        <w:spacing w:line="360" w:lineRule="auto"/>
        <w:ind w:firstLine="480" w:firstLineChars="200"/>
        <w:rPr>
          <w:sz w:val="24"/>
          <w:szCs w:val="24"/>
        </w:rPr>
      </w:pPr>
      <w:r>
        <w:rPr>
          <w:sz w:val="24"/>
          <w:szCs w:val="24"/>
        </w:rPr>
        <w:t>（三）具有履行合同所必需的设备和专业技术能力；</w:t>
      </w:r>
    </w:p>
    <w:p>
      <w:pPr>
        <w:spacing w:line="360" w:lineRule="auto"/>
        <w:ind w:firstLine="480" w:firstLineChars="200"/>
        <w:rPr>
          <w:sz w:val="24"/>
          <w:szCs w:val="24"/>
        </w:rPr>
      </w:pPr>
      <w:r>
        <w:rPr>
          <w:sz w:val="24"/>
          <w:szCs w:val="24"/>
        </w:rPr>
        <w:t>（四）有依法缴纳税收和社会保障资金的良好记录；</w:t>
      </w:r>
    </w:p>
    <w:p>
      <w:pPr>
        <w:spacing w:line="360" w:lineRule="auto"/>
        <w:ind w:firstLine="480" w:firstLineChars="200"/>
        <w:rPr>
          <w:sz w:val="24"/>
          <w:szCs w:val="24"/>
        </w:rPr>
      </w:pPr>
      <w:r>
        <w:rPr>
          <w:sz w:val="24"/>
          <w:szCs w:val="24"/>
        </w:rPr>
        <w:t>（五）参加政府采购活动前三年内，在经营活动中没有重大违法记录；</w:t>
      </w:r>
    </w:p>
    <w:p>
      <w:pPr>
        <w:spacing w:line="360" w:lineRule="auto"/>
        <w:ind w:firstLine="480" w:firstLineChars="200"/>
        <w:rPr>
          <w:sz w:val="24"/>
          <w:szCs w:val="24"/>
        </w:rPr>
      </w:pPr>
      <w:r>
        <w:rPr>
          <w:sz w:val="24"/>
          <w:szCs w:val="24"/>
        </w:rPr>
        <w:t>（六）法律、行政法规规定的其他条件；</w:t>
      </w:r>
    </w:p>
    <w:p>
      <w:pPr>
        <w:spacing w:line="360" w:lineRule="auto"/>
        <w:ind w:firstLine="480" w:firstLineChars="200"/>
        <w:rPr>
          <w:sz w:val="24"/>
          <w:szCs w:val="24"/>
        </w:rPr>
      </w:pPr>
      <w:r>
        <w:rPr>
          <w:sz w:val="24"/>
          <w:szCs w:val="24"/>
        </w:rPr>
        <w:t>（七）根据采购项目提出的特殊条件。</w:t>
      </w:r>
    </w:p>
    <w:p>
      <w:pPr>
        <w:spacing w:line="360" w:lineRule="auto"/>
        <w:ind w:firstLine="480" w:firstLineChars="200"/>
        <w:rPr>
          <w:sz w:val="24"/>
          <w:szCs w:val="24"/>
        </w:rPr>
      </w:pPr>
      <w:r>
        <w:rPr>
          <w:sz w:val="24"/>
          <w:szCs w:val="24"/>
        </w:rPr>
        <w:t>二、完全接受和满足本项目招标文件中规定的实质性要求，如对招标文件有异议，已经在投标截止时间届满前依法进行维权，不存在对招标文件有异议同时又参加投标以求侥幸中标或者为实现其他非法目的的行为。</w:t>
      </w:r>
    </w:p>
    <w:p>
      <w:pPr>
        <w:spacing w:line="360" w:lineRule="auto"/>
        <w:ind w:firstLine="480" w:firstLineChars="200"/>
        <w:rPr>
          <w:sz w:val="24"/>
          <w:szCs w:val="24"/>
        </w:rPr>
      </w:pPr>
      <w:r>
        <w:rPr>
          <w:sz w:val="24"/>
          <w:szCs w:val="24"/>
        </w:rPr>
        <w:t>三、参加本次招标采购活动，不存在与单位负责人为同一人或者存在直接控股、管理关系的其他投标人参与同一合同项下的政府采购活动的行为。</w:t>
      </w:r>
    </w:p>
    <w:p>
      <w:pPr>
        <w:spacing w:line="360" w:lineRule="auto"/>
        <w:ind w:firstLine="480" w:firstLineChars="200"/>
        <w:rPr>
          <w:sz w:val="24"/>
          <w:szCs w:val="24"/>
        </w:rPr>
      </w:pPr>
      <w:r>
        <w:rPr>
          <w:sz w:val="24"/>
          <w:szCs w:val="24"/>
        </w:rPr>
        <w:t>四、参加本次招标采购活动，不存在和其他投标人在同一合同项下的采购项目中，同时委托同一个自然人、同一家庭的人员、同一单位的人员作为代理人的行为。</w:t>
      </w:r>
    </w:p>
    <w:p>
      <w:pPr>
        <w:spacing w:line="360" w:lineRule="auto"/>
        <w:ind w:firstLine="480" w:firstLineChars="200"/>
        <w:rPr>
          <w:sz w:val="24"/>
          <w:szCs w:val="24"/>
        </w:rPr>
      </w:pPr>
      <w:r>
        <w:rPr>
          <w:sz w:val="24"/>
          <w:szCs w:val="24"/>
        </w:rPr>
        <w:t>五、投标人参加本次政府采购活动要求在近三年内投标人和其法定代表人没有行贿犯罪行为。</w:t>
      </w:r>
    </w:p>
    <w:p>
      <w:pPr>
        <w:spacing w:line="360" w:lineRule="auto"/>
        <w:ind w:firstLine="480" w:firstLineChars="200"/>
        <w:rPr>
          <w:sz w:val="24"/>
          <w:szCs w:val="24"/>
        </w:rPr>
      </w:pPr>
      <w:r>
        <w:rPr>
          <w:sz w:val="24"/>
          <w:szCs w:val="24"/>
        </w:rPr>
        <w:t>六、投标文件中提供的能够给予我公司带来优惠、好处的任何材料资料和技术、服务、商务等响应承诺情况都是真实的、有效的、合法的。</w:t>
      </w:r>
    </w:p>
    <w:p>
      <w:pPr>
        <w:spacing w:line="360" w:lineRule="auto"/>
        <w:ind w:firstLine="480" w:firstLineChars="200"/>
        <w:rPr>
          <w:sz w:val="24"/>
          <w:szCs w:val="24"/>
        </w:rPr>
      </w:pPr>
      <w:r>
        <w:rPr>
          <w:sz w:val="24"/>
          <w:szCs w:val="24"/>
        </w:rPr>
        <w:t>七、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pPr>
        <w:spacing w:line="360" w:lineRule="auto"/>
        <w:ind w:firstLine="480" w:firstLineChars="200"/>
        <w:rPr>
          <w:sz w:val="24"/>
          <w:szCs w:val="24"/>
        </w:rPr>
      </w:pPr>
      <w:r>
        <w:rPr>
          <w:sz w:val="24"/>
          <w:szCs w:val="24"/>
        </w:rPr>
        <w:t>八、存在以下行为之一的愿意接受相关部门的处理：</w:t>
      </w:r>
    </w:p>
    <w:p>
      <w:pPr>
        <w:spacing w:line="360" w:lineRule="auto"/>
        <w:ind w:firstLine="480" w:firstLineChars="200"/>
        <w:rPr>
          <w:sz w:val="24"/>
          <w:szCs w:val="24"/>
        </w:rPr>
      </w:pPr>
      <w:r>
        <w:rPr>
          <w:sz w:val="24"/>
          <w:szCs w:val="24"/>
        </w:rPr>
        <w:t>（一）投标有效期内撤销投标文件的；</w:t>
      </w:r>
    </w:p>
    <w:p>
      <w:pPr>
        <w:spacing w:line="360" w:lineRule="auto"/>
        <w:ind w:firstLine="480" w:firstLineChars="200"/>
        <w:rPr>
          <w:sz w:val="24"/>
          <w:szCs w:val="24"/>
        </w:rPr>
      </w:pPr>
      <w:r>
        <w:rPr>
          <w:sz w:val="24"/>
          <w:szCs w:val="24"/>
        </w:rPr>
        <w:t>（二）在采购人确定中标人以前放弃中标候选资格的；</w:t>
      </w:r>
    </w:p>
    <w:p>
      <w:pPr>
        <w:spacing w:line="360" w:lineRule="auto"/>
        <w:ind w:firstLine="480" w:firstLineChars="200"/>
        <w:rPr>
          <w:sz w:val="24"/>
          <w:szCs w:val="24"/>
        </w:rPr>
      </w:pPr>
      <w:r>
        <w:rPr>
          <w:sz w:val="24"/>
          <w:szCs w:val="24"/>
        </w:rPr>
        <w:t>（三）由于中标人的原因未能按照招标文件的规定与采购人签订合同；</w:t>
      </w:r>
    </w:p>
    <w:p>
      <w:pPr>
        <w:spacing w:line="360" w:lineRule="auto"/>
        <w:ind w:firstLine="480" w:firstLineChars="200"/>
        <w:rPr>
          <w:sz w:val="24"/>
          <w:szCs w:val="24"/>
        </w:rPr>
      </w:pPr>
      <w:r>
        <w:rPr>
          <w:sz w:val="24"/>
          <w:szCs w:val="24"/>
        </w:rPr>
        <w:t>（四）由于中标人的原因未能按照招标文件的规定交纳履约保证金；</w:t>
      </w:r>
    </w:p>
    <w:p>
      <w:pPr>
        <w:spacing w:line="360" w:lineRule="auto"/>
        <w:ind w:firstLine="480" w:firstLineChars="200"/>
        <w:rPr>
          <w:sz w:val="24"/>
          <w:szCs w:val="24"/>
        </w:rPr>
      </w:pPr>
      <w:r>
        <w:rPr>
          <w:sz w:val="24"/>
          <w:szCs w:val="24"/>
        </w:rPr>
        <w:t>（五）在投标文件中提供虚假材料谋取中标；</w:t>
      </w:r>
    </w:p>
    <w:p>
      <w:pPr>
        <w:spacing w:line="360" w:lineRule="auto"/>
        <w:ind w:firstLine="480" w:firstLineChars="200"/>
        <w:rPr>
          <w:sz w:val="24"/>
          <w:szCs w:val="24"/>
        </w:rPr>
      </w:pPr>
      <w:r>
        <w:rPr>
          <w:sz w:val="24"/>
          <w:szCs w:val="24"/>
        </w:rPr>
        <w:t>（六）与采购人、其他投标人或者采购代理机构恶意串通的；</w:t>
      </w:r>
    </w:p>
    <w:p>
      <w:pPr>
        <w:spacing w:line="360" w:lineRule="auto"/>
        <w:ind w:firstLine="480" w:firstLineChars="200"/>
        <w:rPr>
          <w:sz w:val="24"/>
          <w:szCs w:val="24"/>
        </w:rPr>
      </w:pPr>
      <w:r>
        <w:rPr>
          <w:sz w:val="24"/>
          <w:szCs w:val="24"/>
        </w:rPr>
        <w:t>（七）投标有效期内，投标人在政府采购活动中有违法、违规、违纪行为。</w:t>
      </w:r>
    </w:p>
    <w:p>
      <w:pPr>
        <w:spacing w:line="360" w:lineRule="auto"/>
        <w:ind w:firstLine="480" w:firstLineChars="200"/>
        <w:rPr>
          <w:sz w:val="24"/>
          <w:szCs w:val="24"/>
        </w:rPr>
      </w:pPr>
      <w:r>
        <w:rPr>
          <w:sz w:val="24"/>
          <w:szCs w:val="24"/>
        </w:rPr>
        <w:t>由此产生的一切法律后果和责任由我公司承担。我公司声明放弃对此提出任何异议和追索的权利。</w:t>
      </w:r>
    </w:p>
    <w:p>
      <w:pPr>
        <w:spacing w:line="360" w:lineRule="auto"/>
        <w:ind w:firstLine="480" w:firstLineChars="200"/>
        <w:rPr>
          <w:sz w:val="24"/>
          <w:szCs w:val="24"/>
        </w:rPr>
      </w:pPr>
      <w:r>
        <w:rPr>
          <w:sz w:val="24"/>
          <w:szCs w:val="24"/>
        </w:rPr>
        <w:t>本公司对上述承诺的内容事项真实性负责。如经查实上述承诺的内容事项存在虚假， 我公司愿意接受以提供虚假材料谋取中标追究法律责任。</w:t>
      </w:r>
    </w:p>
    <w:p>
      <w:pPr>
        <w:spacing w:line="480" w:lineRule="auto"/>
        <w:jc w:val="both"/>
        <w:rPr>
          <w:sz w:val="24"/>
          <w:szCs w:val="24"/>
        </w:rPr>
      </w:pPr>
    </w:p>
    <w:p>
      <w:pPr>
        <w:spacing w:line="480" w:lineRule="auto"/>
        <w:jc w:val="both"/>
        <w:rPr>
          <w:sz w:val="24"/>
          <w:szCs w:val="24"/>
        </w:rPr>
      </w:pPr>
    </w:p>
    <w:p>
      <w:pPr>
        <w:spacing w:line="480" w:lineRule="auto"/>
        <w:jc w:val="right"/>
        <w:rPr>
          <w:sz w:val="24"/>
          <w:szCs w:val="24"/>
        </w:rPr>
      </w:pPr>
      <w:r>
        <w:rPr>
          <w:sz w:val="24"/>
          <w:szCs w:val="24"/>
        </w:rPr>
        <w:t>投标人：</w:t>
      </w:r>
      <w:r>
        <w:rPr>
          <w:sz w:val="24"/>
          <w:szCs w:val="24"/>
          <w:u w:val="single"/>
        </w:rPr>
        <w:t xml:space="preserve"> </w:t>
      </w:r>
      <w:r>
        <w:rPr>
          <w:sz w:val="24"/>
          <w:szCs w:val="24"/>
          <w:u w:val="single"/>
        </w:rPr>
        <w:tab/>
      </w:r>
      <w:r>
        <w:rPr>
          <w:sz w:val="24"/>
          <w:szCs w:val="24"/>
          <w:u w:val="single"/>
        </w:rPr>
        <w:tab/>
      </w:r>
      <w:r>
        <w:rPr>
          <w:sz w:val="24"/>
          <w:szCs w:val="24"/>
        </w:rPr>
        <w:t>（电子签章）</w:t>
      </w:r>
    </w:p>
    <w:p>
      <w:pPr>
        <w:spacing w:line="480" w:lineRule="auto"/>
        <w:jc w:val="right"/>
        <w:rPr>
          <w:sz w:val="24"/>
          <w:szCs w:val="24"/>
        </w:rPr>
      </w:pPr>
      <w:r>
        <w:rPr>
          <w:sz w:val="24"/>
          <w:szCs w:val="24"/>
        </w:rPr>
        <w:t>法定代表人或被授权人：</w:t>
      </w:r>
      <w:r>
        <w:rPr>
          <w:sz w:val="24"/>
          <w:szCs w:val="24"/>
          <w:u w:val="single"/>
        </w:rPr>
        <w:t xml:space="preserve"> </w:t>
      </w:r>
      <w:r>
        <w:rPr>
          <w:rFonts w:hint="eastAsia"/>
          <w:sz w:val="24"/>
          <w:szCs w:val="24"/>
          <w:u w:val="single"/>
          <w:lang w:val="en-US"/>
        </w:rPr>
        <w:t xml:space="preserve">  </w:t>
      </w:r>
      <w:r>
        <w:rPr>
          <w:sz w:val="24"/>
          <w:szCs w:val="24"/>
          <w:u w:val="single"/>
        </w:rPr>
        <w:tab/>
      </w:r>
      <w:r>
        <w:rPr>
          <w:sz w:val="24"/>
          <w:szCs w:val="24"/>
        </w:rPr>
        <w:t>（签字或电子签名）</w:t>
      </w:r>
    </w:p>
    <w:p>
      <w:pPr>
        <w:spacing w:line="480" w:lineRule="auto"/>
        <w:jc w:val="right"/>
        <w:rPr>
          <w:sz w:val="24"/>
          <w:szCs w:val="24"/>
        </w:rPr>
      </w:pPr>
      <w:r>
        <w:rPr>
          <w:sz w:val="24"/>
          <w:szCs w:val="24"/>
        </w:rPr>
        <w:t>日</w:t>
      </w:r>
      <w:r>
        <w:rPr>
          <w:sz w:val="24"/>
          <w:szCs w:val="24"/>
        </w:rPr>
        <w:tab/>
      </w:r>
      <w:r>
        <w:rPr>
          <w:sz w:val="24"/>
          <w:szCs w:val="24"/>
        </w:rPr>
        <w:t>期：</w:t>
      </w:r>
      <w:r>
        <w:rPr>
          <w:rFonts w:hint="eastAsia"/>
          <w:sz w:val="24"/>
          <w:szCs w:val="24"/>
          <w:lang w:val="en-US"/>
        </w:rPr>
        <w:t xml:space="preserve">   </w:t>
      </w:r>
      <w:r>
        <w:rPr>
          <w:sz w:val="24"/>
          <w:szCs w:val="24"/>
        </w:rPr>
        <w:t>年</w:t>
      </w:r>
      <w:r>
        <w:rPr>
          <w:rFonts w:hint="eastAsia"/>
          <w:sz w:val="24"/>
          <w:szCs w:val="24"/>
          <w:lang w:val="en-US"/>
        </w:rPr>
        <w:t xml:space="preserve">    </w:t>
      </w:r>
      <w:r>
        <w:rPr>
          <w:sz w:val="24"/>
          <w:szCs w:val="24"/>
        </w:rPr>
        <w:t>月</w:t>
      </w:r>
      <w:r>
        <w:rPr>
          <w:rFonts w:hint="eastAsia"/>
          <w:sz w:val="24"/>
          <w:szCs w:val="24"/>
          <w:lang w:val="en-US"/>
        </w:rPr>
        <w:t xml:space="preserve">    </w:t>
      </w:r>
      <w:r>
        <w:rPr>
          <w:sz w:val="24"/>
          <w:szCs w:val="24"/>
        </w:rPr>
        <w:t>日</w:t>
      </w:r>
    </w:p>
    <w:p>
      <w:pPr>
        <w:pStyle w:val="4"/>
        <w:spacing w:before="40"/>
        <w:rPr>
          <w:sz w:val="28"/>
          <w:szCs w:val="28"/>
        </w:rPr>
      </w:pPr>
    </w:p>
    <w:p>
      <w:pPr>
        <w:rPr>
          <w:sz w:val="28"/>
          <w:szCs w:val="28"/>
        </w:rPr>
      </w:pPr>
      <w:r>
        <w:rPr>
          <w:sz w:val="28"/>
          <w:szCs w:val="28"/>
        </w:rPr>
        <w:br w:type="page"/>
      </w:r>
    </w:p>
    <w:p>
      <w:pPr>
        <w:pStyle w:val="4"/>
        <w:spacing w:before="40"/>
        <w:ind w:left="0"/>
        <w:rPr>
          <w:sz w:val="28"/>
          <w:szCs w:val="28"/>
        </w:rPr>
      </w:pPr>
      <w:bookmarkStart w:id="38" w:name="_Toc28770"/>
      <w:r>
        <w:rPr>
          <w:rFonts w:hint="eastAsia"/>
          <w:sz w:val="28"/>
          <w:szCs w:val="28"/>
        </w:rPr>
        <w:t>八</w:t>
      </w:r>
      <w:r>
        <w:rPr>
          <w:sz w:val="28"/>
          <w:szCs w:val="28"/>
        </w:rPr>
        <w:t>、招标文件确认书</w:t>
      </w:r>
      <w:bookmarkEnd w:id="38"/>
    </w:p>
    <w:p>
      <w:pPr>
        <w:spacing w:before="40"/>
        <w:jc w:val="both"/>
        <w:rPr>
          <w:sz w:val="28"/>
          <w:szCs w:val="28"/>
        </w:rPr>
      </w:pPr>
    </w:p>
    <w:p>
      <w:pPr>
        <w:spacing w:before="40"/>
        <w:rPr>
          <w:sz w:val="28"/>
          <w:szCs w:val="28"/>
        </w:rPr>
      </w:pPr>
    </w:p>
    <w:p>
      <w:pPr>
        <w:spacing w:line="360" w:lineRule="auto"/>
        <w:ind w:firstLine="480" w:firstLineChars="200"/>
        <w:rPr>
          <w:sz w:val="24"/>
          <w:szCs w:val="24"/>
        </w:rPr>
      </w:pPr>
      <w:r>
        <w:rPr>
          <w:sz w:val="24"/>
          <w:szCs w:val="24"/>
          <w:u w:val="single"/>
        </w:rPr>
        <w:t xml:space="preserve"> </w:t>
      </w:r>
      <w:r>
        <w:rPr>
          <w:rFonts w:hint="eastAsia"/>
          <w:sz w:val="24"/>
          <w:szCs w:val="24"/>
          <w:u w:val="single"/>
          <w:lang w:val="en-US"/>
        </w:rPr>
        <w:t xml:space="preserve">          </w:t>
      </w:r>
      <w:r>
        <w:rPr>
          <w:sz w:val="24"/>
          <w:szCs w:val="24"/>
        </w:rPr>
        <w:t>（采购人名称）：</w:t>
      </w:r>
    </w:p>
    <w:p>
      <w:pPr>
        <w:spacing w:line="360" w:lineRule="auto"/>
        <w:ind w:firstLine="480" w:firstLineChars="200"/>
        <w:rPr>
          <w:sz w:val="24"/>
          <w:szCs w:val="24"/>
        </w:rPr>
      </w:pPr>
      <w:r>
        <w:rPr>
          <w:sz w:val="24"/>
          <w:szCs w:val="24"/>
        </w:rPr>
        <w:t>我方已经详细阅读整个招标文件的内容，对本招标文件的内容没有任何异议，全部同意并接受且我方保证在开评标活动结束后不对本招标文件的任何内容提出异议。</w:t>
      </w:r>
    </w:p>
    <w:p>
      <w:pPr>
        <w:spacing w:before="40"/>
        <w:rPr>
          <w:sz w:val="28"/>
          <w:szCs w:val="28"/>
        </w:rPr>
      </w:pPr>
    </w:p>
    <w:p>
      <w:pPr>
        <w:spacing w:before="40"/>
        <w:rPr>
          <w:sz w:val="28"/>
          <w:szCs w:val="28"/>
        </w:rPr>
      </w:pPr>
    </w:p>
    <w:p>
      <w:pPr>
        <w:spacing w:before="40"/>
        <w:rPr>
          <w:sz w:val="28"/>
          <w:szCs w:val="28"/>
        </w:rPr>
      </w:pPr>
    </w:p>
    <w:p>
      <w:pPr>
        <w:spacing w:before="40"/>
        <w:rPr>
          <w:sz w:val="28"/>
          <w:szCs w:val="28"/>
        </w:rPr>
      </w:pPr>
    </w:p>
    <w:p>
      <w:pPr>
        <w:spacing w:before="40"/>
        <w:rPr>
          <w:sz w:val="28"/>
          <w:szCs w:val="28"/>
        </w:rPr>
      </w:pPr>
    </w:p>
    <w:p>
      <w:pPr>
        <w:spacing w:before="40"/>
        <w:rPr>
          <w:sz w:val="28"/>
          <w:szCs w:val="28"/>
        </w:rPr>
      </w:pPr>
    </w:p>
    <w:p>
      <w:pPr>
        <w:spacing w:before="40"/>
        <w:rPr>
          <w:sz w:val="28"/>
          <w:szCs w:val="28"/>
        </w:rPr>
      </w:pPr>
    </w:p>
    <w:p>
      <w:pPr>
        <w:spacing w:before="40" w:line="480" w:lineRule="auto"/>
        <w:jc w:val="right"/>
        <w:rPr>
          <w:sz w:val="24"/>
          <w:szCs w:val="24"/>
        </w:rPr>
      </w:pPr>
      <w:r>
        <w:rPr>
          <w:sz w:val="24"/>
          <w:szCs w:val="24"/>
        </w:rPr>
        <w:t>投标人：</w:t>
      </w:r>
      <w:r>
        <w:rPr>
          <w:rFonts w:hint="eastAsia"/>
          <w:sz w:val="24"/>
          <w:szCs w:val="24"/>
          <w:u w:val="single"/>
          <w:lang w:val="en-US"/>
        </w:rPr>
        <w:t xml:space="preserve">           </w:t>
      </w:r>
      <w:r>
        <w:rPr>
          <w:sz w:val="24"/>
          <w:szCs w:val="24"/>
        </w:rPr>
        <w:t xml:space="preserve">（电子签章） </w:t>
      </w:r>
    </w:p>
    <w:p>
      <w:pPr>
        <w:spacing w:before="40" w:line="480" w:lineRule="auto"/>
        <w:jc w:val="right"/>
        <w:rPr>
          <w:sz w:val="24"/>
          <w:szCs w:val="24"/>
        </w:rPr>
      </w:pPr>
      <w:r>
        <w:rPr>
          <w:sz w:val="24"/>
          <w:szCs w:val="24"/>
        </w:rPr>
        <w:t>法定代表人或其委托代理人：</w:t>
      </w:r>
      <w:r>
        <w:rPr>
          <w:rFonts w:hint="eastAsia"/>
          <w:sz w:val="24"/>
          <w:szCs w:val="24"/>
          <w:u w:val="single"/>
          <w:lang w:val="en-US"/>
        </w:rPr>
        <w:t xml:space="preserve">             </w:t>
      </w:r>
      <w:r>
        <w:rPr>
          <w:sz w:val="24"/>
          <w:szCs w:val="24"/>
        </w:rPr>
        <w:t>（</w:t>
      </w:r>
      <w:r>
        <w:rPr>
          <w:rFonts w:hint="eastAsia"/>
          <w:sz w:val="24"/>
          <w:szCs w:val="24"/>
        </w:rPr>
        <w:t>签字或电子签名</w:t>
      </w:r>
      <w:r>
        <w:rPr>
          <w:sz w:val="24"/>
          <w:szCs w:val="24"/>
        </w:rPr>
        <w:t>）</w:t>
      </w:r>
    </w:p>
    <w:p>
      <w:pPr>
        <w:spacing w:before="40" w:line="480" w:lineRule="auto"/>
        <w:jc w:val="right"/>
        <w:rPr>
          <w:sz w:val="28"/>
          <w:szCs w:val="28"/>
        </w:rPr>
        <w:sectPr>
          <w:pgSz w:w="11910" w:h="16840"/>
          <w:pgMar w:top="1361" w:right="1417" w:bottom="1361" w:left="1417" w:header="0" w:footer="913" w:gutter="0"/>
          <w:cols w:space="425" w:num="1"/>
        </w:sectPr>
      </w:pPr>
      <w:r>
        <w:rPr>
          <w:sz w:val="24"/>
          <w:szCs w:val="24"/>
        </w:rPr>
        <w:t xml:space="preserve"> </w:t>
      </w:r>
      <w:r>
        <w:rPr>
          <w:sz w:val="24"/>
          <w:szCs w:val="24"/>
        </w:rPr>
        <w:tab/>
      </w:r>
      <w:r>
        <w:rPr>
          <w:rFonts w:hint="eastAsia"/>
          <w:sz w:val="24"/>
          <w:szCs w:val="24"/>
          <w:lang w:val="en-US"/>
        </w:rPr>
        <w:t xml:space="preserve"> </w:t>
      </w:r>
      <w:r>
        <w:rPr>
          <w:sz w:val="24"/>
          <w:szCs w:val="24"/>
        </w:rPr>
        <w:t xml:space="preserve">年 </w:t>
      </w:r>
      <w:r>
        <w:rPr>
          <w:sz w:val="24"/>
          <w:szCs w:val="24"/>
        </w:rPr>
        <w:tab/>
      </w:r>
      <w:r>
        <w:rPr>
          <w:sz w:val="24"/>
          <w:szCs w:val="24"/>
        </w:rPr>
        <w:t xml:space="preserve">月 </w:t>
      </w:r>
      <w:r>
        <w:rPr>
          <w:sz w:val="24"/>
          <w:szCs w:val="24"/>
        </w:rPr>
        <w:tab/>
      </w:r>
      <w:r>
        <w:rPr>
          <w:sz w:val="24"/>
          <w:szCs w:val="24"/>
        </w:rPr>
        <w:t>日</w:t>
      </w:r>
    </w:p>
    <w:p>
      <w:pPr>
        <w:pStyle w:val="4"/>
        <w:spacing w:before="40"/>
        <w:ind w:left="0"/>
        <w:jc w:val="both"/>
        <w:rPr>
          <w:sz w:val="28"/>
          <w:szCs w:val="28"/>
        </w:rPr>
      </w:pPr>
    </w:p>
    <w:p>
      <w:pPr>
        <w:pStyle w:val="4"/>
        <w:spacing w:before="40"/>
        <w:rPr>
          <w:sz w:val="28"/>
          <w:szCs w:val="28"/>
        </w:rPr>
      </w:pPr>
      <w:bookmarkStart w:id="39" w:name="_Toc18745"/>
      <w:r>
        <w:rPr>
          <w:rFonts w:hint="eastAsia"/>
          <w:sz w:val="28"/>
          <w:szCs w:val="28"/>
        </w:rPr>
        <w:t>九</w:t>
      </w:r>
      <w:r>
        <w:rPr>
          <w:sz w:val="28"/>
          <w:szCs w:val="28"/>
        </w:rPr>
        <w:t>、承诺书</w:t>
      </w:r>
      <w:bookmarkEnd w:id="39"/>
    </w:p>
    <w:p>
      <w:pPr>
        <w:pStyle w:val="4"/>
        <w:spacing w:before="40"/>
        <w:rPr>
          <w:sz w:val="28"/>
          <w:szCs w:val="28"/>
        </w:rPr>
      </w:pPr>
    </w:p>
    <w:p>
      <w:pPr>
        <w:spacing w:before="40"/>
        <w:rPr>
          <w:sz w:val="28"/>
          <w:szCs w:val="28"/>
        </w:rPr>
      </w:pPr>
    </w:p>
    <w:p>
      <w:pPr>
        <w:spacing w:line="360" w:lineRule="auto"/>
        <w:rPr>
          <w:sz w:val="24"/>
          <w:szCs w:val="24"/>
        </w:rPr>
      </w:pPr>
      <w:r>
        <w:rPr>
          <w:sz w:val="28"/>
          <w:szCs w:val="28"/>
          <w:u w:val="single"/>
        </w:rPr>
        <w:t xml:space="preserve"> </w:t>
      </w:r>
      <w:r>
        <w:rPr>
          <w:sz w:val="28"/>
          <w:szCs w:val="28"/>
          <w:u w:val="single"/>
        </w:rPr>
        <w:tab/>
      </w:r>
      <w:r>
        <w:rPr>
          <w:rFonts w:hint="eastAsia"/>
          <w:sz w:val="28"/>
          <w:szCs w:val="28"/>
          <w:u w:val="single"/>
          <w:lang w:val="en-US"/>
        </w:rPr>
        <w:t xml:space="preserve">        </w:t>
      </w:r>
      <w:r>
        <w:rPr>
          <w:sz w:val="24"/>
          <w:szCs w:val="24"/>
        </w:rPr>
        <w:t>（采购人名称）：</w:t>
      </w:r>
    </w:p>
    <w:p>
      <w:pPr>
        <w:spacing w:line="360" w:lineRule="auto"/>
        <w:ind w:firstLine="480" w:firstLineChars="200"/>
        <w:rPr>
          <w:sz w:val="24"/>
          <w:szCs w:val="24"/>
        </w:rPr>
      </w:pPr>
    </w:p>
    <w:p>
      <w:pPr>
        <w:spacing w:line="360" w:lineRule="auto"/>
        <w:ind w:firstLine="480" w:firstLineChars="200"/>
        <w:rPr>
          <w:sz w:val="24"/>
          <w:szCs w:val="24"/>
        </w:rPr>
      </w:pPr>
      <w:r>
        <w:rPr>
          <w:sz w:val="24"/>
          <w:szCs w:val="24"/>
        </w:rPr>
        <w:t>我方在此声明,投标期间提供的所有资料真实有效，并愿意承担因就提供虚假资料随时视为放弃中标资格并承担由此引起的一切不良和法律后果。</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480" w:lineRule="auto"/>
        <w:jc w:val="right"/>
        <w:rPr>
          <w:sz w:val="24"/>
          <w:szCs w:val="24"/>
        </w:rPr>
      </w:pPr>
      <w:r>
        <w:rPr>
          <w:sz w:val="24"/>
          <w:szCs w:val="24"/>
        </w:rPr>
        <w:t>投标人：</w:t>
      </w:r>
      <w:r>
        <w:rPr>
          <w:sz w:val="24"/>
          <w:szCs w:val="24"/>
          <w:u w:val="single"/>
        </w:rPr>
        <w:t xml:space="preserve"> </w:t>
      </w:r>
      <w:r>
        <w:rPr>
          <w:sz w:val="24"/>
          <w:szCs w:val="24"/>
          <w:u w:val="single"/>
        </w:rPr>
        <w:tab/>
      </w:r>
      <w:r>
        <w:rPr>
          <w:rFonts w:hint="eastAsia"/>
          <w:sz w:val="24"/>
          <w:szCs w:val="24"/>
          <w:u w:val="single"/>
          <w:lang w:val="en-US"/>
        </w:rPr>
        <w:t xml:space="preserve">  </w:t>
      </w:r>
      <w:r>
        <w:rPr>
          <w:sz w:val="24"/>
          <w:szCs w:val="24"/>
          <w:u w:val="single"/>
        </w:rPr>
        <w:tab/>
      </w:r>
      <w:r>
        <w:rPr>
          <w:sz w:val="24"/>
          <w:szCs w:val="24"/>
        </w:rPr>
        <w:t xml:space="preserve">（电子签章） </w:t>
      </w:r>
    </w:p>
    <w:p>
      <w:pPr>
        <w:spacing w:line="480" w:lineRule="auto"/>
        <w:jc w:val="right"/>
        <w:rPr>
          <w:sz w:val="24"/>
          <w:szCs w:val="24"/>
        </w:rPr>
      </w:pPr>
      <w:r>
        <w:rPr>
          <w:sz w:val="24"/>
          <w:szCs w:val="24"/>
        </w:rPr>
        <w:t>法定代表人或其委托代理人：</w:t>
      </w:r>
      <w:r>
        <w:rPr>
          <w:sz w:val="24"/>
          <w:szCs w:val="24"/>
          <w:u w:val="single"/>
        </w:rPr>
        <w:t xml:space="preserve"> </w:t>
      </w:r>
      <w:r>
        <w:rPr>
          <w:rFonts w:hint="eastAsia"/>
          <w:sz w:val="24"/>
          <w:szCs w:val="24"/>
          <w:u w:val="single"/>
          <w:lang w:val="en-US"/>
        </w:rPr>
        <w:t xml:space="preserve">    </w:t>
      </w:r>
      <w:r>
        <w:rPr>
          <w:sz w:val="24"/>
          <w:szCs w:val="24"/>
          <w:u w:val="single"/>
        </w:rPr>
        <w:tab/>
      </w:r>
      <w:r>
        <w:rPr>
          <w:sz w:val="24"/>
          <w:szCs w:val="24"/>
        </w:rPr>
        <w:t>（</w:t>
      </w:r>
      <w:r>
        <w:rPr>
          <w:rFonts w:hint="eastAsia"/>
          <w:sz w:val="24"/>
          <w:szCs w:val="24"/>
        </w:rPr>
        <w:t>签字或电子签名</w:t>
      </w:r>
      <w:r>
        <w:rPr>
          <w:sz w:val="24"/>
          <w:szCs w:val="24"/>
        </w:rPr>
        <w:t>）</w:t>
      </w:r>
    </w:p>
    <w:p>
      <w:pPr>
        <w:spacing w:line="480" w:lineRule="auto"/>
        <w:jc w:val="center"/>
        <w:rPr>
          <w:sz w:val="24"/>
          <w:szCs w:val="24"/>
        </w:rPr>
      </w:pPr>
      <w:r>
        <w:rPr>
          <w:rFonts w:hint="eastAsia"/>
          <w:sz w:val="24"/>
          <w:szCs w:val="24"/>
          <w:lang w:val="en-US"/>
        </w:rPr>
        <w:t xml:space="preserve">                                       </w:t>
      </w:r>
      <w:r>
        <w:rPr>
          <w:sz w:val="24"/>
          <w:szCs w:val="24"/>
        </w:rPr>
        <w:t>年</w:t>
      </w:r>
      <w:r>
        <w:rPr>
          <w:rFonts w:hint="eastAsia"/>
          <w:sz w:val="24"/>
          <w:szCs w:val="24"/>
          <w:lang w:val="en-US"/>
        </w:rPr>
        <w:t xml:space="preserve">     </w:t>
      </w:r>
      <w:r>
        <w:rPr>
          <w:sz w:val="24"/>
          <w:szCs w:val="24"/>
        </w:rPr>
        <w:t xml:space="preserve"> 月</w:t>
      </w:r>
      <w:r>
        <w:rPr>
          <w:rFonts w:hint="eastAsia"/>
          <w:sz w:val="24"/>
          <w:szCs w:val="24"/>
          <w:lang w:val="en-US"/>
        </w:rPr>
        <w:t xml:space="preserve">    </w:t>
      </w:r>
      <w:r>
        <w:rPr>
          <w:sz w:val="24"/>
          <w:szCs w:val="24"/>
        </w:rPr>
        <w:t>日</w:t>
      </w:r>
    </w:p>
    <w:p>
      <w:pPr>
        <w:pStyle w:val="4"/>
        <w:spacing w:before="40"/>
        <w:rPr>
          <w:sz w:val="28"/>
          <w:szCs w:val="28"/>
        </w:rPr>
      </w:pPr>
    </w:p>
    <w:p>
      <w:pPr>
        <w:rPr>
          <w:sz w:val="28"/>
          <w:szCs w:val="28"/>
        </w:rPr>
      </w:pPr>
      <w:r>
        <w:rPr>
          <w:sz w:val="28"/>
          <w:szCs w:val="28"/>
        </w:rPr>
        <w:br w:type="page"/>
      </w:r>
    </w:p>
    <w:p>
      <w:pPr>
        <w:pStyle w:val="4"/>
        <w:spacing w:before="40"/>
        <w:rPr>
          <w:sz w:val="28"/>
          <w:szCs w:val="28"/>
        </w:rPr>
      </w:pPr>
      <w:bookmarkStart w:id="40" w:name="_Toc26287"/>
      <w:r>
        <w:rPr>
          <w:sz w:val="28"/>
          <w:szCs w:val="28"/>
        </w:rPr>
        <w:t>十、其它材料</w:t>
      </w:r>
      <w:bookmarkEnd w:id="40"/>
    </w:p>
    <w:p>
      <w:pPr>
        <w:pStyle w:val="4"/>
        <w:spacing w:before="40"/>
        <w:rPr>
          <w:sz w:val="28"/>
          <w:szCs w:val="28"/>
        </w:rPr>
      </w:pPr>
    </w:p>
    <w:p>
      <w:pPr>
        <w:spacing w:before="40"/>
        <w:jc w:val="center"/>
        <w:rPr>
          <w:sz w:val="28"/>
          <w:szCs w:val="28"/>
        </w:rPr>
      </w:pPr>
      <w:r>
        <w:rPr>
          <w:sz w:val="28"/>
          <w:szCs w:val="28"/>
        </w:rPr>
        <w:t>投标人认为应附或招标文件要求的相关材料</w:t>
      </w:r>
    </w:p>
    <w:p>
      <w:pPr>
        <w:pStyle w:val="4"/>
        <w:spacing w:before="40"/>
        <w:rPr>
          <w:sz w:val="28"/>
          <w:szCs w:val="28"/>
        </w:rPr>
        <w:sectPr>
          <w:pgSz w:w="11910" w:h="16840"/>
          <w:pgMar w:top="1361" w:right="1417" w:bottom="1361" w:left="1417" w:header="0" w:footer="913" w:gutter="0"/>
          <w:cols w:space="425" w:num="1"/>
        </w:sectPr>
      </w:pPr>
    </w:p>
    <w:p>
      <w:pPr>
        <w:pStyle w:val="4"/>
        <w:spacing w:before="40"/>
        <w:rPr>
          <w:sz w:val="28"/>
          <w:szCs w:val="28"/>
        </w:rPr>
      </w:pPr>
    </w:p>
    <w:p>
      <w:pPr>
        <w:pStyle w:val="4"/>
        <w:spacing w:before="40"/>
        <w:rPr>
          <w:sz w:val="28"/>
          <w:szCs w:val="28"/>
        </w:rPr>
      </w:pPr>
      <w:bookmarkStart w:id="41" w:name="_Toc30405"/>
      <w:r>
        <w:rPr>
          <w:sz w:val="28"/>
          <w:szCs w:val="28"/>
        </w:rPr>
        <w:t>十</w:t>
      </w:r>
      <w:r>
        <w:rPr>
          <w:rFonts w:hint="eastAsia"/>
          <w:sz w:val="28"/>
          <w:szCs w:val="28"/>
        </w:rPr>
        <w:t>一</w:t>
      </w:r>
      <w:r>
        <w:rPr>
          <w:sz w:val="28"/>
          <w:szCs w:val="28"/>
        </w:rPr>
        <w:t>、享受政府采购政策的证明材料</w:t>
      </w:r>
      <w:bookmarkEnd w:id="41"/>
    </w:p>
    <w:p>
      <w:pPr>
        <w:spacing w:before="40"/>
        <w:jc w:val="center"/>
        <w:rPr>
          <w:sz w:val="28"/>
          <w:szCs w:val="28"/>
        </w:rPr>
      </w:pPr>
      <w:r>
        <w:rPr>
          <w:sz w:val="28"/>
          <w:szCs w:val="28"/>
        </w:rPr>
        <w:t>（如有时提供）</w:t>
      </w:r>
    </w:p>
    <w:p>
      <w:pPr>
        <w:pStyle w:val="24"/>
        <w:rPr>
          <w:color w:val="auto"/>
        </w:rPr>
      </w:pPr>
    </w:p>
    <w:p>
      <w:pPr>
        <w:pStyle w:val="5"/>
        <w:spacing w:before="40"/>
        <w:rPr>
          <w:b w:val="0"/>
          <w:bCs w:val="0"/>
        </w:rPr>
      </w:pPr>
      <w:bookmarkStart w:id="42" w:name="_bookmark20"/>
      <w:bookmarkEnd w:id="42"/>
      <w:bookmarkStart w:id="43" w:name="_Toc11212"/>
      <w:r>
        <w:t>1、中小企业声明函（工程、服务）</w:t>
      </w:r>
      <w:bookmarkEnd w:id="43"/>
    </w:p>
    <w:p>
      <w:pPr>
        <w:spacing w:before="40"/>
        <w:rPr>
          <w:sz w:val="24"/>
          <w:szCs w:val="24"/>
        </w:rPr>
      </w:pPr>
    </w:p>
    <w:p>
      <w:pPr>
        <w:spacing w:line="360" w:lineRule="auto"/>
        <w:ind w:firstLine="720" w:firstLineChars="300"/>
        <w:rPr>
          <w:sz w:val="24"/>
          <w:szCs w:val="24"/>
        </w:rPr>
      </w:pPr>
      <w:r>
        <w:rPr>
          <w:sz w:val="24"/>
          <w:szCs w:val="24"/>
        </w:rPr>
        <w:t>本公司（联合体）郑重声明，根据《政府采购促进中小企业发展管理办法》（财库</w:t>
      </w:r>
      <w:r>
        <w:rPr>
          <w:rFonts w:hint="eastAsia"/>
          <w:sz w:val="24"/>
          <w:szCs w:val="24"/>
        </w:rPr>
        <w:t>（</w:t>
      </w:r>
      <w:r>
        <w:rPr>
          <w:sz w:val="24"/>
          <w:szCs w:val="24"/>
        </w:rPr>
        <w:t>2020</w:t>
      </w:r>
      <w:r>
        <w:rPr>
          <w:rFonts w:hint="eastAsia"/>
          <w:sz w:val="24"/>
          <w:szCs w:val="24"/>
        </w:rPr>
        <w:t>）</w:t>
      </w:r>
      <w:r>
        <w:rPr>
          <w:sz w:val="24"/>
          <w:szCs w:val="24"/>
        </w:rPr>
        <w:t>46号）的规定，本公</w:t>
      </w:r>
      <w:r>
        <w:rPr>
          <w:rFonts w:hint="eastAsia"/>
          <w:sz w:val="24"/>
          <w:szCs w:val="24"/>
        </w:rPr>
        <w:t>司</w:t>
      </w:r>
      <w:r>
        <w:rPr>
          <w:sz w:val="24"/>
          <w:szCs w:val="24"/>
        </w:rPr>
        <w:t>（联合体</w:t>
      </w:r>
      <w:r>
        <w:rPr>
          <w:rFonts w:hint="eastAsia"/>
          <w:sz w:val="24"/>
          <w:szCs w:val="24"/>
        </w:rPr>
        <w:t>）</w:t>
      </w:r>
      <w:r>
        <w:rPr>
          <w:sz w:val="24"/>
          <w:szCs w:val="24"/>
        </w:rPr>
        <w:t>参加</w:t>
      </w:r>
      <w:r>
        <w:rPr>
          <w:b/>
          <w:bCs/>
          <w:sz w:val="24"/>
          <w:szCs w:val="24"/>
          <w:u w:val="single"/>
        </w:rPr>
        <w:t>（单位名称）</w:t>
      </w:r>
      <w:r>
        <w:rPr>
          <w:sz w:val="24"/>
          <w:szCs w:val="24"/>
        </w:rPr>
        <w:t>的</w:t>
      </w:r>
      <w:r>
        <w:rPr>
          <w:b/>
          <w:bCs/>
          <w:sz w:val="24"/>
          <w:szCs w:val="24"/>
          <w:u w:val="single"/>
        </w:rPr>
        <w:t>（项目名称）</w:t>
      </w:r>
      <w:r>
        <w:rPr>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720" w:firstLineChars="300"/>
        <w:rPr>
          <w:sz w:val="24"/>
          <w:szCs w:val="24"/>
        </w:rPr>
      </w:pPr>
      <w:r>
        <w:rPr>
          <w:rFonts w:hint="eastAsia"/>
          <w:sz w:val="24"/>
          <w:szCs w:val="24"/>
          <w:lang w:val="en-US"/>
        </w:rPr>
        <w:t>1.</w:t>
      </w:r>
      <w:r>
        <w:rPr>
          <w:sz w:val="24"/>
          <w:szCs w:val="24"/>
          <w:u w:val="single"/>
        </w:rPr>
        <w:t>（标的名称</w:t>
      </w:r>
      <w:r>
        <w:rPr>
          <w:rFonts w:hint="eastAsia"/>
          <w:sz w:val="24"/>
          <w:szCs w:val="24"/>
          <w:u w:val="single"/>
        </w:rPr>
        <w:t>）</w:t>
      </w:r>
      <w:r>
        <w:rPr>
          <w:sz w:val="24"/>
          <w:szCs w:val="24"/>
        </w:rPr>
        <w:t>，属于</w:t>
      </w:r>
      <w:r>
        <w:rPr>
          <w:sz w:val="24"/>
          <w:szCs w:val="24"/>
          <w:u w:val="single"/>
        </w:rPr>
        <w:t>（采购文件中明确的所属行业）</w:t>
      </w:r>
      <w:r>
        <w:rPr>
          <w:sz w:val="24"/>
          <w:szCs w:val="24"/>
        </w:rPr>
        <w:t>； 承建（承接）企业为</w:t>
      </w:r>
      <w:r>
        <w:rPr>
          <w:sz w:val="24"/>
          <w:szCs w:val="24"/>
          <w:u w:val="single"/>
        </w:rPr>
        <w:t>（企业名称）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 ，属于</w:t>
      </w:r>
      <w:r>
        <w:rPr>
          <w:sz w:val="24"/>
          <w:szCs w:val="24"/>
          <w:u w:val="single"/>
        </w:rPr>
        <w:t>（中型企业、小型企业、微型企业）</w:t>
      </w:r>
      <w:r>
        <w:rPr>
          <w:sz w:val="24"/>
          <w:szCs w:val="24"/>
        </w:rPr>
        <w:t>；</w:t>
      </w:r>
    </w:p>
    <w:p>
      <w:pPr>
        <w:spacing w:line="360" w:lineRule="auto"/>
        <w:ind w:firstLine="720" w:firstLineChars="300"/>
        <w:rPr>
          <w:sz w:val="24"/>
          <w:szCs w:val="24"/>
        </w:rPr>
      </w:pPr>
      <w:r>
        <w:rPr>
          <w:rFonts w:hint="eastAsia"/>
          <w:sz w:val="24"/>
          <w:szCs w:val="24"/>
          <w:lang w:val="en-US"/>
        </w:rPr>
        <w:t>2.</w:t>
      </w:r>
      <w:r>
        <w:rPr>
          <w:sz w:val="24"/>
          <w:szCs w:val="24"/>
          <w:u w:val="single"/>
        </w:rPr>
        <w:t>（标的名称）</w:t>
      </w:r>
      <w:r>
        <w:rPr>
          <w:sz w:val="24"/>
          <w:szCs w:val="24"/>
        </w:rPr>
        <w:t>，属于</w:t>
      </w:r>
      <w:r>
        <w:rPr>
          <w:sz w:val="24"/>
          <w:szCs w:val="24"/>
          <w:u w:val="single"/>
        </w:rPr>
        <w:t>（采购文件中明确的所属行业）</w:t>
      </w:r>
      <w:r>
        <w:rPr>
          <w:sz w:val="24"/>
          <w:szCs w:val="24"/>
        </w:rPr>
        <w:t>； 承建（承接）企业为</w:t>
      </w:r>
      <w:r>
        <w:rPr>
          <w:sz w:val="24"/>
          <w:szCs w:val="24"/>
          <w:u w:val="single"/>
        </w:rPr>
        <w:t>（企业名称）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（中型企业、小型企业、微型企业）</w:t>
      </w:r>
      <w:r>
        <w:rPr>
          <w:sz w:val="24"/>
          <w:szCs w:val="24"/>
        </w:rPr>
        <w:t>；</w:t>
      </w:r>
    </w:p>
    <w:p>
      <w:pPr>
        <w:spacing w:line="360" w:lineRule="auto"/>
        <w:rPr>
          <w:sz w:val="24"/>
          <w:szCs w:val="24"/>
        </w:rPr>
      </w:pPr>
      <w:r>
        <w:rPr>
          <w:sz w:val="24"/>
          <w:szCs w:val="24"/>
        </w:rPr>
        <w:t>……</w:t>
      </w:r>
    </w:p>
    <w:p>
      <w:pPr>
        <w:spacing w:line="360" w:lineRule="auto"/>
        <w:ind w:firstLine="480" w:firstLineChars="200"/>
        <w:rPr>
          <w:sz w:val="24"/>
          <w:szCs w:val="24"/>
        </w:rPr>
      </w:pPr>
      <w:r>
        <w:rPr>
          <w:sz w:val="24"/>
          <w:szCs w:val="24"/>
        </w:rPr>
        <w:t>以上企业，不属于大企业的分支机构，不存在控股股东 为大企业的情形，也不存在与大企业的负责人为同一人的情形。 本企业对上述声明内容的真实性负责。如有虚假，将依法承担相应责任。</w:t>
      </w:r>
    </w:p>
    <w:p>
      <w:pPr>
        <w:spacing w:line="360" w:lineRule="auto"/>
        <w:rPr>
          <w:sz w:val="24"/>
          <w:szCs w:val="24"/>
        </w:rPr>
      </w:pPr>
    </w:p>
    <w:p>
      <w:pPr>
        <w:spacing w:line="360" w:lineRule="auto"/>
        <w:jc w:val="right"/>
        <w:rPr>
          <w:sz w:val="24"/>
          <w:szCs w:val="24"/>
        </w:rPr>
      </w:pPr>
      <w:r>
        <w:rPr>
          <w:sz w:val="24"/>
          <w:szCs w:val="24"/>
        </w:rPr>
        <w:t>企业名称</w:t>
      </w:r>
      <w:r>
        <w:rPr>
          <w:rFonts w:hint="eastAsia"/>
          <w:sz w:val="24"/>
          <w:szCs w:val="24"/>
        </w:rPr>
        <w:t>：</w:t>
      </w:r>
      <w:r>
        <w:rPr>
          <w:rFonts w:hint="eastAsia"/>
          <w:sz w:val="24"/>
          <w:szCs w:val="24"/>
          <w:u w:val="single"/>
          <w:lang w:val="en-US"/>
        </w:rPr>
        <w:t xml:space="preserve">           </w:t>
      </w:r>
      <w:r>
        <w:rPr>
          <w:sz w:val="24"/>
          <w:szCs w:val="24"/>
        </w:rPr>
        <w:t xml:space="preserve">（盖单位章） </w:t>
      </w:r>
    </w:p>
    <w:p>
      <w:pPr>
        <w:spacing w:line="360" w:lineRule="auto"/>
        <w:jc w:val="center"/>
        <w:rPr>
          <w:sz w:val="24"/>
          <w:szCs w:val="24"/>
        </w:rPr>
      </w:pPr>
      <w:r>
        <w:rPr>
          <w:rFonts w:hint="eastAsia"/>
          <w:sz w:val="24"/>
          <w:szCs w:val="24"/>
          <w:lang w:val="en-US"/>
        </w:rPr>
        <w:t xml:space="preserve">                                </w:t>
      </w:r>
      <w:r>
        <w:rPr>
          <w:sz w:val="24"/>
          <w:szCs w:val="24"/>
        </w:rPr>
        <w:t>日 期：</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1. 从业人员、营业收入、资产总额填报上一年度数据，无上一年度数据的新成立企业可不填报。</w:t>
      </w:r>
    </w:p>
    <w:p>
      <w:pPr>
        <w:spacing w:line="360" w:lineRule="auto"/>
        <w:rPr>
          <w:sz w:val="24"/>
          <w:szCs w:val="24"/>
        </w:rPr>
        <w:sectPr>
          <w:pgSz w:w="11910" w:h="16840"/>
          <w:pgMar w:top="1361" w:right="1417" w:bottom="1361" w:left="1417" w:header="0" w:footer="913" w:gutter="0"/>
          <w:cols w:space="425" w:num="1"/>
        </w:sectPr>
      </w:pPr>
      <w:r>
        <w:rPr>
          <w:sz w:val="24"/>
          <w:szCs w:val="24"/>
        </w:rPr>
        <w:t>2、未按上述要求提供、填写的，评审时不予以考虑。</w:t>
      </w:r>
    </w:p>
    <w:p>
      <w:pPr>
        <w:spacing w:line="360" w:lineRule="auto"/>
        <w:rPr>
          <w:sz w:val="24"/>
          <w:szCs w:val="24"/>
        </w:rPr>
      </w:pPr>
    </w:p>
    <w:p>
      <w:pPr>
        <w:spacing w:line="360" w:lineRule="auto"/>
        <w:jc w:val="center"/>
        <w:outlineLvl w:val="2"/>
        <w:rPr>
          <w:sz w:val="24"/>
          <w:szCs w:val="24"/>
        </w:rPr>
      </w:pPr>
      <w:bookmarkStart w:id="44" w:name="_bookmark21"/>
      <w:bookmarkEnd w:id="44"/>
      <w:bookmarkStart w:id="45" w:name="_Toc16591"/>
      <w:r>
        <w:rPr>
          <w:b/>
          <w:bCs/>
          <w:sz w:val="24"/>
          <w:szCs w:val="24"/>
        </w:rPr>
        <w:t>2、残疾人福利性单位声明函</w:t>
      </w:r>
      <w:bookmarkEnd w:id="45"/>
    </w:p>
    <w:p>
      <w:pPr>
        <w:spacing w:line="360" w:lineRule="auto"/>
        <w:ind w:firstLine="480" w:firstLineChars="200"/>
        <w:rPr>
          <w:sz w:val="24"/>
          <w:szCs w:val="24"/>
        </w:rPr>
      </w:pPr>
      <w:r>
        <w:rPr>
          <w:sz w:val="24"/>
          <w:szCs w:val="24"/>
        </w:rPr>
        <w:t>本单位郑重声明，根据《财政部民政部中国残疾人联合会关于促进残疾人就业政府采购政策的通知》（财库</w:t>
      </w:r>
      <w:r>
        <w:rPr>
          <w:rFonts w:hint="eastAsia"/>
          <w:sz w:val="24"/>
          <w:szCs w:val="24"/>
        </w:rPr>
        <w:t>（</w:t>
      </w:r>
      <w:r>
        <w:rPr>
          <w:rFonts w:hint="eastAsia"/>
          <w:sz w:val="24"/>
          <w:szCs w:val="24"/>
          <w:lang w:val="en-US"/>
        </w:rPr>
        <w:t>2017</w:t>
      </w:r>
      <w:r>
        <w:rPr>
          <w:rFonts w:hint="eastAsia"/>
          <w:sz w:val="24"/>
          <w:szCs w:val="24"/>
        </w:rPr>
        <w:t>）</w:t>
      </w:r>
      <w:r>
        <w:rPr>
          <w:sz w:val="24"/>
          <w:szCs w:val="24"/>
        </w:rPr>
        <w:t>141号）的规定，本单位为符合条件的残疾人福利性单位，且本单位参加</w:t>
      </w:r>
      <w:r>
        <w:rPr>
          <w:rFonts w:hint="eastAsia"/>
          <w:sz w:val="24"/>
          <w:szCs w:val="24"/>
          <w:u w:val="single"/>
          <w:lang w:val="en-US"/>
        </w:rPr>
        <w:t xml:space="preserve">            </w:t>
      </w:r>
      <w:r>
        <w:rPr>
          <w:sz w:val="24"/>
          <w:szCs w:val="24"/>
        </w:rPr>
        <w:t>单位的</w:t>
      </w:r>
      <w:r>
        <w:rPr>
          <w:rFonts w:hint="eastAsia"/>
          <w:sz w:val="24"/>
          <w:szCs w:val="24"/>
          <w:u w:val="single"/>
          <w:lang w:val="en-US"/>
        </w:rPr>
        <w:t xml:space="preserve">             </w:t>
      </w:r>
      <w:r>
        <w:rPr>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rPr>
          <w:sz w:val="24"/>
          <w:szCs w:val="24"/>
        </w:rPr>
      </w:pPr>
      <w:r>
        <w:rPr>
          <w:sz w:val="24"/>
          <w:szCs w:val="24"/>
        </w:rPr>
        <w:t>本单位对上述声明的真实性负责。如有虚假，将依法承担相应责任。</w:t>
      </w:r>
    </w:p>
    <w:p>
      <w:pPr>
        <w:spacing w:line="360" w:lineRule="auto"/>
        <w:rPr>
          <w:sz w:val="24"/>
          <w:szCs w:val="24"/>
        </w:rPr>
      </w:pPr>
    </w:p>
    <w:p>
      <w:pPr>
        <w:spacing w:line="360" w:lineRule="auto"/>
        <w:rPr>
          <w:sz w:val="24"/>
          <w:szCs w:val="24"/>
        </w:rPr>
      </w:pPr>
    </w:p>
    <w:p>
      <w:pPr>
        <w:spacing w:line="360" w:lineRule="auto"/>
        <w:jc w:val="right"/>
        <w:rPr>
          <w:sz w:val="24"/>
          <w:szCs w:val="24"/>
        </w:rPr>
      </w:pPr>
      <w:r>
        <w:rPr>
          <w:sz w:val="24"/>
          <w:szCs w:val="24"/>
        </w:rPr>
        <w:t>投标人名称：</w:t>
      </w:r>
      <w:r>
        <w:rPr>
          <w:rFonts w:hint="eastAsia"/>
          <w:sz w:val="24"/>
          <w:szCs w:val="24"/>
          <w:u w:val="single"/>
          <w:lang w:val="en-US"/>
        </w:rPr>
        <w:t xml:space="preserve">        </w:t>
      </w:r>
      <w:r>
        <w:rPr>
          <w:sz w:val="24"/>
          <w:szCs w:val="24"/>
        </w:rPr>
        <w:t>(盖单位章)</w:t>
      </w:r>
    </w:p>
    <w:p>
      <w:pPr>
        <w:spacing w:line="360" w:lineRule="auto"/>
        <w:jc w:val="right"/>
        <w:rPr>
          <w:sz w:val="24"/>
          <w:szCs w:val="24"/>
        </w:rPr>
      </w:pPr>
      <w:r>
        <w:rPr>
          <w:sz w:val="24"/>
          <w:szCs w:val="24"/>
        </w:rPr>
        <w:t>日期：</w:t>
      </w:r>
      <w:r>
        <w:rPr>
          <w:sz w:val="24"/>
          <w:szCs w:val="24"/>
        </w:rPr>
        <w:tab/>
      </w:r>
      <w:r>
        <w:rPr>
          <w:sz w:val="24"/>
          <w:szCs w:val="24"/>
        </w:rPr>
        <w:t>年</w:t>
      </w:r>
      <w:r>
        <w:rPr>
          <w:sz w:val="24"/>
          <w:szCs w:val="24"/>
        </w:rPr>
        <w:tab/>
      </w:r>
      <w:r>
        <w:rPr>
          <w:sz w:val="24"/>
          <w:szCs w:val="24"/>
        </w:rPr>
        <w:t>月</w:t>
      </w:r>
      <w:r>
        <w:rPr>
          <w:sz w:val="24"/>
          <w:szCs w:val="24"/>
        </w:rPr>
        <w:tab/>
      </w:r>
      <w:r>
        <w:rPr>
          <w:sz w:val="24"/>
          <w:szCs w:val="24"/>
        </w:rPr>
        <w:t>日</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jc w:val="center"/>
        <w:outlineLvl w:val="2"/>
        <w:rPr>
          <w:b/>
          <w:bCs/>
          <w:sz w:val="24"/>
          <w:szCs w:val="24"/>
        </w:rPr>
      </w:pPr>
      <w:bookmarkStart w:id="46" w:name="_bookmark22"/>
      <w:bookmarkEnd w:id="46"/>
      <w:bookmarkStart w:id="47" w:name="_Toc31151"/>
      <w:r>
        <w:rPr>
          <w:b/>
          <w:bCs/>
          <w:sz w:val="24"/>
          <w:szCs w:val="24"/>
        </w:rPr>
        <w:t>3、监狱企业证明文件</w:t>
      </w:r>
      <w:bookmarkEnd w:id="47"/>
    </w:p>
    <w:p>
      <w:pPr>
        <w:spacing w:line="360" w:lineRule="auto"/>
        <w:ind w:firstLine="480" w:firstLineChars="200"/>
        <w:rPr>
          <w:sz w:val="24"/>
          <w:szCs w:val="24"/>
        </w:rPr>
      </w:pPr>
    </w:p>
    <w:p>
      <w:pPr>
        <w:spacing w:line="360" w:lineRule="auto"/>
        <w:ind w:firstLine="480" w:firstLineChars="200"/>
        <w:rPr>
          <w:sz w:val="24"/>
          <w:szCs w:val="24"/>
        </w:rPr>
      </w:pPr>
      <w:r>
        <w:rPr>
          <w:sz w:val="24"/>
          <w:szCs w:val="24"/>
        </w:rPr>
        <w:t>省级以上监狱管理局、戒毒管理局（含新疆生产建设兵团）出具的属于监狱企业的证明文件。</w:t>
      </w:r>
    </w:p>
    <w:sectPr>
      <w:pgSz w:w="11910" w:h="16840"/>
      <w:pgMar w:top="1361" w:right="1417" w:bottom="1361" w:left="1417" w:header="0" w:footer="913"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r>
      <w:pict>
        <v:shape id="_x0000_s3073" o:spid="_x0000_s3073" o:spt="202" type="#_x0000_t202" style="position:absolute;left:0pt;margin-left:291.2pt;margin-top:781.15pt;height:12pt;width:18.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54E0B"/>
    <w:multiLevelType w:val="singleLevel"/>
    <w:tmpl w:val="A2554E0B"/>
    <w:lvl w:ilvl="0" w:tentative="0">
      <w:start w:val="3"/>
      <w:numFmt w:val="chineseCounting"/>
      <w:suff w:val="space"/>
      <w:lvlText w:val="第%1章"/>
      <w:lvlJc w:val="left"/>
      <w:rPr>
        <w:rFonts w:hint="eastAsia"/>
      </w:rPr>
    </w:lvl>
  </w:abstractNum>
  <w:abstractNum w:abstractNumId="1">
    <w:nsid w:val="AC781573"/>
    <w:multiLevelType w:val="singleLevel"/>
    <w:tmpl w:val="AC781573"/>
    <w:lvl w:ilvl="0" w:tentative="0">
      <w:start w:val="3"/>
      <w:numFmt w:val="chineseCounting"/>
      <w:suff w:val="nothing"/>
      <w:lvlText w:val="%1、"/>
      <w:lvlJc w:val="left"/>
      <w:rPr>
        <w:rFonts w:hint="eastAsia"/>
      </w:rPr>
    </w:lvl>
  </w:abstractNum>
  <w:abstractNum w:abstractNumId="2">
    <w:nsid w:val="FA274C2C"/>
    <w:multiLevelType w:val="singleLevel"/>
    <w:tmpl w:val="FA274C2C"/>
    <w:lvl w:ilvl="0" w:tentative="0">
      <w:start w:val="1"/>
      <w:numFmt w:val="chineseCounting"/>
      <w:suff w:val="nothing"/>
      <w:lvlText w:val="%1、"/>
      <w:lvlJc w:val="left"/>
      <w:rPr>
        <w:rFonts w:hint="eastAsia"/>
      </w:rPr>
    </w:lvl>
  </w:abstractNum>
  <w:abstractNum w:abstractNumId="3">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C139D60"/>
    <w:multiLevelType w:val="singleLevel"/>
    <w:tmpl w:val="4C139D60"/>
    <w:lvl w:ilvl="0" w:tentative="0">
      <w:start w:val="1"/>
      <w:numFmt w:val="decimal"/>
      <w:suff w:val="nothing"/>
      <w:lvlText w:val="（%1）"/>
      <w:lvlJc w:val="left"/>
    </w:lvl>
  </w:abstractNum>
  <w:abstractNum w:abstractNumId="5">
    <w:nsid w:val="57AD89C1"/>
    <w:multiLevelType w:val="singleLevel"/>
    <w:tmpl w:val="57AD89C1"/>
    <w:lvl w:ilvl="0" w:tentative="0">
      <w:start w:val="4"/>
      <w:numFmt w:val="decimal"/>
      <w:suff w:val="nothing"/>
      <w:lvlText w:val="%1."/>
      <w:lvlJc w:val="left"/>
    </w:lvl>
  </w:abstractNum>
  <w:abstractNum w:abstractNumId="6">
    <w:nsid w:val="72183CF9"/>
    <w:multiLevelType w:val="multilevel"/>
    <w:tmpl w:val="72183CF9"/>
    <w:lvl w:ilvl="0" w:tentative="0">
      <w:start w:val="1"/>
      <w:numFmt w:val="decimal"/>
      <w:lvlText w:val="%1."/>
      <w:lvlJc w:val="left"/>
      <w:pPr>
        <w:ind w:left="105" w:hanging="312"/>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956" w:hanging="312"/>
      </w:pPr>
      <w:rPr>
        <w:rFonts w:hint="default"/>
        <w:lang w:val="zh-CN" w:eastAsia="zh-CN" w:bidi="zh-CN"/>
      </w:rPr>
    </w:lvl>
    <w:lvl w:ilvl="2" w:tentative="0">
      <w:start w:val="0"/>
      <w:numFmt w:val="bullet"/>
      <w:lvlText w:val="•"/>
      <w:lvlJc w:val="left"/>
      <w:pPr>
        <w:ind w:left="1812" w:hanging="312"/>
      </w:pPr>
      <w:rPr>
        <w:rFonts w:hint="default"/>
        <w:lang w:val="zh-CN" w:eastAsia="zh-CN" w:bidi="zh-CN"/>
      </w:rPr>
    </w:lvl>
    <w:lvl w:ilvl="3" w:tentative="0">
      <w:start w:val="0"/>
      <w:numFmt w:val="bullet"/>
      <w:lvlText w:val="•"/>
      <w:lvlJc w:val="left"/>
      <w:pPr>
        <w:ind w:left="2668" w:hanging="312"/>
      </w:pPr>
      <w:rPr>
        <w:rFonts w:hint="default"/>
        <w:lang w:val="zh-CN" w:eastAsia="zh-CN" w:bidi="zh-CN"/>
      </w:rPr>
    </w:lvl>
    <w:lvl w:ilvl="4" w:tentative="0">
      <w:start w:val="0"/>
      <w:numFmt w:val="bullet"/>
      <w:lvlText w:val="•"/>
      <w:lvlJc w:val="left"/>
      <w:pPr>
        <w:ind w:left="3524" w:hanging="312"/>
      </w:pPr>
      <w:rPr>
        <w:rFonts w:hint="default"/>
        <w:lang w:val="zh-CN" w:eastAsia="zh-CN" w:bidi="zh-CN"/>
      </w:rPr>
    </w:lvl>
    <w:lvl w:ilvl="5" w:tentative="0">
      <w:start w:val="0"/>
      <w:numFmt w:val="bullet"/>
      <w:lvlText w:val="•"/>
      <w:lvlJc w:val="left"/>
      <w:pPr>
        <w:ind w:left="4380" w:hanging="312"/>
      </w:pPr>
      <w:rPr>
        <w:rFonts w:hint="default"/>
        <w:lang w:val="zh-CN" w:eastAsia="zh-CN" w:bidi="zh-CN"/>
      </w:rPr>
    </w:lvl>
    <w:lvl w:ilvl="6" w:tentative="0">
      <w:start w:val="0"/>
      <w:numFmt w:val="bullet"/>
      <w:lvlText w:val="•"/>
      <w:lvlJc w:val="left"/>
      <w:pPr>
        <w:ind w:left="5236" w:hanging="312"/>
      </w:pPr>
      <w:rPr>
        <w:rFonts w:hint="default"/>
        <w:lang w:val="zh-CN" w:eastAsia="zh-CN" w:bidi="zh-CN"/>
      </w:rPr>
    </w:lvl>
    <w:lvl w:ilvl="7" w:tentative="0">
      <w:start w:val="0"/>
      <w:numFmt w:val="bullet"/>
      <w:lvlText w:val="•"/>
      <w:lvlJc w:val="left"/>
      <w:pPr>
        <w:ind w:left="6092" w:hanging="312"/>
      </w:pPr>
      <w:rPr>
        <w:rFonts w:hint="default"/>
        <w:lang w:val="zh-CN" w:eastAsia="zh-CN" w:bidi="zh-CN"/>
      </w:rPr>
    </w:lvl>
    <w:lvl w:ilvl="8" w:tentative="0">
      <w:start w:val="0"/>
      <w:numFmt w:val="bullet"/>
      <w:lvlText w:val="•"/>
      <w:lvlJc w:val="left"/>
      <w:pPr>
        <w:ind w:left="6948" w:hanging="312"/>
      </w:pPr>
      <w:rPr>
        <w:rFonts w:hint="default"/>
        <w:lang w:val="zh-CN" w:eastAsia="zh-CN" w:bidi="zh-CN"/>
      </w:rPr>
    </w:lvl>
  </w:abstractNum>
  <w:num w:numId="1">
    <w:abstractNumId w:val="6"/>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A90028"/>
    <w:rsid w:val="000D4D68"/>
    <w:rsid w:val="001565E2"/>
    <w:rsid w:val="00226A6B"/>
    <w:rsid w:val="002E7216"/>
    <w:rsid w:val="0030081D"/>
    <w:rsid w:val="00321AC6"/>
    <w:rsid w:val="0032352F"/>
    <w:rsid w:val="00344FA3"/>
    <w:rsid w:val="00391B27"/>
    <w:rsid w:val="0044528D"/>
    <w:rsid w:val="0053002B"/>
    <w:rsid w:val="005A4A03"/>
    <w:rsid w:val="006A46B9"/>
    <w:rsid w:val="007935FB"/>
    <w:rsid w:val="00822150"/>
    <w:rsid w:val="00877D4D"/>
    <w:rsid w:val="009216E8"/>
    <w:rsid w:val="00925127"/>
    <w:rsid w:val="00967EEA"/>
    <w:rsid w:val="00993678"/>
    <w:rsid w:val="009D484E"/>
    <w:rsid w:val="00A90028"/>
    <w:rsid w:val="00AE0D7B"/>
    <w:rsid w:val="00AE6976"/>
    <w:rsid w:val="00B74869"/>
    <w:rsid w:val="00BF48E6"/>
    <w:rsid w:val="00C16A0D"/>
    <w:rsid w:val="00C71656"/>
    <w:rsid w:val="00C71719"/>
    <w:rsid w:val="00EB4720"/>
    <w:rsid w:val="00EE76C5"/>
    <w:rsid w:val="00F5010A"/>
    <w:rsid w:val="00F77007"/>
    <w:rsid w:val="00F87479"/>
    <w:rsid w:val="03D33BB1"/>
    <w:rsid w:val="04627188"/>
    <w:rsid w:val="04F85B6E"/>
    <w:rsid w:val="05401460"/>
    <w:rsid w:val="06F5046B"/>
    <w:rsid w:val="07675E59"/>
    <w:rsid w:val="086C0926"/>
    <w:rsid w:val="0D26488D"/>
    <w:rsid w:val="0DA1248A"/>
    <w:rsid w:val="109D291A"/>
    <w:rsid w:val="10F349E6"/>
    <w:rsid w:val="15880353"/>
    <w:rsid w:val="15CC6ED7"/>
    <w:rsid w:val="16070E7C"/>
    <w:rsid w:val="177A6358"/>
    <w:rsid w:val="197275EE"/>
    <w:rsid w:val="1B975A94"/>
    <w:rsid w:val="1CA53A34"/>
    <w:rsid w:val="1DCC0AED"/>
    <w:rsid w:val="1E5C46E5"/>
    <w:rsid w:val="23B30369"/>
    <w:rsid w:val="28A71409"/>
    <w:rsid w:val="2C8301CF"/>
    <w:rsid w:val="2DFE480E"/>
    <w:rsid w:val="463543E4"/>
    <w:rsid w:val="49326C21"/>
    <w:rsid w:val="52CE69C9"/>
    <w:rsid w:val="54C97A46"/>
    <w:rsid w:val="5C3D4388"/>
    <w:rsid w:val="5F97570E"/>
    <w:rsid w:val="64194BF5"/>
    <w:rsid w:val="6665174B"/>
    <w:rsid w:val="69EA020B"/>
    <w:rsid w:val="6D28648C"/>
    <w:rsid w:val="70CF2731"/>
    <w:rsid w:val="72344166"/>
    <w:rsid w:val="727F32C3"/>
    <w:rsid w:val="7575322E"/>
    <w:rsid w:val="763B744A"/>
    <w:rsid w:val="7CAE3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214"/>
      <w:ind w:left="465"/>
      <w:outlineLvl w:val="0"/>
    </w:pPr>
    <w:rPr>
      <w:b/>
      <w:bCs/>
      <w:sz w:val="32"/>
      <w:szCs w:val="32"/>
    </w:rPr>
  </w:style>
  <w:style w:type="paragraph" w:styleId="4">
    <w:name w:val="heading 2"/>
    <w:basedOn w:val="1"/>
    <w:next w:val="1"/>
    <w:qFormat/>
    <w:uiPriority w:val="1"/>
    <w:pPr>
      <w:spacing w:before="38"/>
      <w:ind w:left="465" w:right="466"/>
      <w:jc w:val="center"/>
      <w:outlineLvl w:val="1"/>
    </w:pPr>
    <w:rPr>
      <w:b/>
      <w:bCs/>
      <w:sz w:val="30"/>
      <w:szCs w:val="30"/>
    </w:rPr>
  </w:style>
  <w:style w:type="paragraph" w:styleId="5">
    <w:name w:val="heading 3"/>
    <w:basedOn w:val="1"/>
    <w:next w:val="1"/>
    <w:qFormat/>
    <w:uiPriority w:val="1"/>
    <w:pPr>
      <w:ind w:left="465"/>
      <w:outlineLvl w:val="2"/>
    </w:pPr>
    <w:rPr>
      <w:b/>
      <w:bCs/>
      <w:sz w:val="24"/>
      <w:szCs w:val="24"/>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after="290" w:line="372"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2"/>
      <w:sz w:val="21"/>
      <w:szCs w:val="24"/>
    </w:rPr>
  </w:style>
  <w:style w:type="paragraph" w:styleId="8">
    <w:name w:val="Body Text"/>
    <w:basedOn w:val="1"/>
    <w:next w:val="9"/>
    <w:qFormat/>
    <w:uiPriority w:val="1"/>
    <w:rPr>
      <w:sz w:val="24"/>
      <w:szCs w:val="24"/>
    </w:rPr>
  </w:style>
  <w:style w:type="paragraph" w:styleId="9">
    <w:name w:val="Body Text 2"/>
    <w:basedOn w:val="1"/>
    <w:qFormat/>
    <w:uiPriority w:val="0"/>
    <w:pPr>
      <w:spacing w:line="700" w:lineRule="exact"/>
    </w:pPr>
    <w:rPr>
      <w:sz w:val="28"/>
    </w:rPr>
  </w:style>
  <w:style w:type="paragraph" w:styleId="10">
    <w:name w:val="Body Text Indent"/>
    <w:basedOn w:val="1"/>
    <w:next w:val="11"/>
    <w:semiHidden/>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1"/>
    <w:pPr>
      <w:spacing w:before="161"/>
      <w:ind w:left="1358"/>
    </w:pPr>
    <w:rPr>
      <w:sz w:val="24"/>
      <w:szCs w:val="24"/>
    </w:rPr>
  </w:style>
  <w:style w:type="paragraph" w:styleId="13">
    <w:name w:val="Plain Text"/>
    <w:basedOn w:val="1"/>
    <w:qFormat/>
    <w:uiPriority w:val="0"/>
    <w:rPr>
      <w:rFonts w:hAnsi="Courier New"/>
    </w:rPr>
  </w:style>
  <w:style w:type="paragraph" w:styleId="14">
    <w:name w:val="Balloon Text"/>
    <w:basedOn w:val="1"/>
    <w:link w:val="31"/>
    <w:qFormat/>
    <w:uiPriority w:val="0"/>
    <w:rPr>
      <w:sz w:val="18"/>
      <w:szCs w:val="18"/>
    </w:rPr>
  </w:style>
  <w:style w:type="paragraph" w:styleId="15">
    <w:name w:val="footer"/>
    <w:basedOn w:val="1"/>
    <w:qFormat/>
    <w:uiPriority w:val="99"/>
    <w:pPr>
      <w:tabs>
        <w:tab w:val="center" w:pos="4153"/>
        <w:tab w:val="right" w:pos="8306"/>
      </w:tabs>
      <w:snapToGrid w:val="0"/>
    </w:pPr>
    <w:rPr>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1"/>
    <w:pPr>
      <w:spacing w:before="280"/>
      <w:ind w:right="934"/>
      <w:jc w:val="right"/>
    </w:pPr>
    <w:rPr>
      <w:b/>
      <w:bCs/>
      <w:sz w:val="24"/>
      <w:szCs w:val="24"/>
    </w:rPr>
  </w:style>
  <w:style w:type="paragraph" w:styleId="18">
    <w:name w:val="toc 2"/>
    <w:basedOn w:val="1"/>
    <w:next w:val="1"/>
    <w:qFormat/>
    <w:uiPriority w:val="1"/>
    <w:pPr>
      <w:spacing w:before="161"/>
      <w:ind w:right="934"/>
      <w:jc w:val="right"/>
    </w:pPr>
    <w:rPr>
      <w:sz w:val="24"/>
      <w:szCs w:val="24"/>
    </w:rPr>
  </w:style>
  <w:style w:type="paragraph" w:styleId="19">
    <w:name w:val="Normal (Web)"/>
    <w:basedOn w:val="1"/>
    <w:qFormat/>
    <w:uiPriority w:val="0"/>
    <w:rPr>
      <w:rFonts w:cs="Times New Roman"/>
      <w:sz w:val="24"/>
      <w:lang w:val="en-US" w:bidi="ar-SA"/>
    </w:rPr>
  </w:style>
  <w:style w:type="paragraph" w:styleId="20">
    <w:name w:val="Body Text First Indent 2"/>
    <w:basedOn w:val="10"/>
    <w:next w:val="1"/>
    <w:qFormat/>
    <w:uiPriority w:val="0"/>
    <w:pPr>
      <w:spacing w:after="0" w:line="360" w:lineRule="auto"/>
      <w:ind w:left="0" w:leftChars="0" w:firstLine="420" w:firstLineChars="200"/>
    </w:pPr>
    <w:rPr>
      <w:sz w:val="24"/>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ind w:left="938" w:firstLine="480"/>
    </w:pPr>
  </w:style>
  <w:style w:type="paragraph" w:customStyle="1" w:styleId="27">
    <w:name w:val="Table Paragraph"/>
    <w:basedOn w:val="1"/>
    <w:qFormat/>
    <w:uiPriority w:val="1"/>
  </w:style>
  <w:style w:type="paragraph" w:customStyle="1" w:styleId="28">
    <w:name w:val="首行缩进"/>
    <w:basedOn w:val="1"/>
    <w:qFormat/>
    <w:uiPriority w:val="99"/>
    <w:pPr>
      <w:ind w:firstLine="480" w:firstLineChars="200"/>
    </w:pPr>
  </w:style>
  <w:style w:type="paragraph" w:customStyle="1" w:styleId="29">
    <w:name w:val="No Spacing1"/>
    <w:basedOn w:val="1"/>
    <w:qFormat/>
    <w:uiPriority w:val="0"/>
    <w:pPr>
      <w:spacing w:line="400" w:lineRule="exact"/>
    </w:pPr>
    <w:rPr>
      <w:sz w:val="24"/>
    </w:rPr>
  </w:style>
  <w:style w:type="character" w:customStyle="1" w:styleId="30">
    <w:name w:val="font41"/>
    <w:basedOn w:val="23"/>
    <w:qFormat/>
    <w:uiPriority w:val="0"/>
    <w:rPr>
      <w:rFonts w:hint="default" w:ascii="Times New Roman" w:hAnsi="Times New Roman" w:cs="Times New Roman"/>
      <w:color w:val="000000"/>
      <w:sz w:val="21"/>
      <w:szCs w:val="21"/>
      <w:u w:val="none"/>
    </w:rPr>
  </w:style>
  <w:style w:type="character" w:customStyle="1" w:styleId="31">
    <w:name w:val="批注框文本 Char"/>
    <w:basedOn w:val="23"/>
    <w:link w:val="14"/>
    <w:qFormat/>
    <w:uiPriority w:val="0"/>
    <w:rPr>
      <w:rFonts w:ascii="宋体" w:hAnsi="宋体" w:cs="宋体"/>
      <w:sz w:val="18"/>
      <w:szCs w:val="18"/>
      <w:lang w:val="zh-CN" w:bidi="zh-CN"/>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正文内容"/>
    <w:basedOn w:val="1"/>
    <w:next w:val="1"/>
    <w:qFormat/>
    <w:uiPriority w:val="1"/>
    <w:pPr>
      <w:autoSpaceDE/>
      <w:autoSpaceDN/>
      <w:ind w:firstLine="200" w:firstLineChars="200"/>
      <w:jc w:val="both"/>
    </w:pPr>
    <w:rPr>
      <w:rFonts w:ascii="Times New Roman" w:hAnsi="Times New Roman" w:eastAsia="仿宋_GB2312" w:cs="Times New Roman"/>
      <w:kern w:val="44"/>
      <w:sz w:val="28"/>
      <w:szCs w:val="44"/>
      <w:lang w:val="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5592</Words>
  <Characters>31879</Characters>
  <Lines>265</Lines>
  <Paragraphs>74</Paragraphs>
  <TotalTime>2</TotalTime>
  <ScaleCrop>false</ScaleCrop>
  <LinksUpToDate>false</LinksUpToDate>
  <CharactersWithSpaces>37397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2021-08-27T01:23:00Z</dcterms:created>
  <dc:creator>admin</dc:creator>
  <cp:lastModifiedBy>再见再也不见  ▽ ”</cp:lastModifiedBy>
  <dcterms:modified xsi:type="dcterms:W3CDTF">2021-11-11T05:12:05Z</dcterms:modified>
  <dc:title>河南省荥阳市广王土地整理项目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Creator">
    <vt:lpwstr>Microsoft? Office Word 2007</vt:lpwstr>
  </property>
  <property fmtid="{D5CDD505-2E9C-101B-9397-08002B2CF9AE}" pid="4" name="LastSaved">
    <vt:filetime>2021-08-27T00:00:00Z</vt:filetime>
  </property>
  <property fmtid="{D5CDD505-2E9C-101B-9397-08002B2CF9AE}" pid="5" name="KSOProductBuildVer">
    <vt:lpwstr>2052-11.1.0.11045</vt:lpwstr>
  </property>
  <property fmtid="{D5CDD505-2E9C-101B-9397-08002B2CF9AE}" pid="6" name="ICV">
    <vt:lpwstr>21F00F4188A84F9F99F408339BF40BB7</vt:lpwstr>
  </property>
</Properties>
</file>