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984" w:lineRule="atLeast"/>
        <w:jc w:val="center"/>
        <w:rPr>
          <w:rFonts w:ascii="宋体" w:hAnsi="宋体" w:eastAsia="宋体"/>
          <w:b/>
          <w:bCs/>
          <w:color w:val="auto"/>
          <w:sz w:val="52"/>
          <w:highlight w:val="none"/>
          <w:lang w:eastAsia="zh-CN"/>
        </w:rPr>
      </w:pPr>
      <w:r>
        <w:rPr>
          <w:rFonts w:hint="eastAsia" w:ascii="宋体" w:hAnsi="宋体" w:eastAsia="宋体"/>
          <w:b/>
          <w:bCs/>
          <w:color w:val="auto"/>
          <w:sz w:val="52"/>
          <w:highlight w:val="none"/>
          <w:lang w:eastAsia="zh-CN"/>
        </w:rPr>
        <w:t>濮阳市化工产业集聚区总体发展规划项目</w:t>
      </w:r>
    </w:p>
    <w:p>
      <w:pPr>
        <w:pStyle w:val="5"/>
        <w:rPr>
          <w:color w:val="auto"/>
          <w:highlight w:val="none"/>
        </w:rPr>
      </w:pPr>
    </w:p>
    <w:p>
      <w:pPr>
        <w:spacing w:line="440" w:lineRule="exact"/>
        <w:ind w:left="1"/>
        <w:textAlignment w:val="bottom"/>
        <w:rPr>
          <w:rFonts w:ascii="宋体" w:hAnsi="宋体" w:eastAsia="宋体"/>
          <w:color w:val="auto"/>
          <w:w w:val="75"/>
          <w:sz w:val="72"/>
          <w:highlight w:val="none"/>
          <w:lang w:eastAsia="zh-CN"/>
        </w:rPr>
      </w:pPr>
    </w:p>
    <w:p>
      <w:pPr>
        <w:jc w:val="center"/>
        <w:rPr>
          <w:rFonts w:ascii="宋体" w:hAnsi="宋体" w:eastAsia="宋体"/>
          <w:b/>
          <w:bCs/>
          <w:color w:val="auto"/>
          <w:sz w:val="28"/>
          <w:highlight w:val="none"/>
          <w:lang w:eastAsia="zh-CN"/>
        </w:rPr>
      </w:pPr>
      <w:r>
        <w:rPr>
          <w:rFonts w:hint="eastAsia" w:ascii="宋体" w:hAnsi="宋体" w:eastAsia="宋体"/>
          <w:b/>
          <w:bCs/>
          <w:color w:val="auto"/>
          <w:sz w:val="28"/>
          <w:highlight w:val="none"/>
          <w:lang w:eastAsia="zh-CN"/>
        </w:rPr>
        <w:t>文件编号：</w:t>
      </w:r>
      <w:bookmarkStart w:id="0" w:name="_Hlk53089576"/>
      <w:r>
        <w:rPr>
          <w:rFonts w:hint="eastAsia" w:ascii="宋体" w:hAnsi="宋体" w:eastAsia="宋体"/>
          <w:b/>
          <w:bCs/>
          <w:color w:val="auto"/>
          <w:sz w:val="28"/>
          <w:highlight w:val="none"/>
          <w:lang w:eastAsia="zh-CN"/>
        </w:rPr>
        <w:t>2020-09-18</w:t>
      </w:r>
      <w:bookmarkEnd w:id="0"/>
    </w:p>
    <w:p>
      <w:pPr>
        <w:rPr>
          <w:rFonts w:ascii="宋体" w:hAnsi="宋体" w:eastAsia="宋体"/>
          <w:color w:val="auto"/>
          <w:sz w:val="32"/>
          <w:szCs w:val="32"/>
          <w:highlight w:val="none"/>
          <w:lang w:eastAsia="zh-CN"/>
        </w:rPr>
      </w:pPr>
    </w:p>
    <w:p>
      <w:pPr>
        <w:spacing w:line="984" w:lineRule="atLeast"/>
        <w:jc w:val="center"/>
        <w:rPr>
          <w:rFonts w:ascii="宋体" w:hAnsi="宋体" w:eastAsia="宋体"/>
          <w:b/>
          <w:bCs/>
          <w:color w:val="auto"/>
          <w:sz w:val="72"/>
          <w:highlight w:val="none"/>
          <w:lang w:eastAsia="zh-CN"/>
        </w:rPr>
      </w:pPr>
      <w:r>
        <w:rPr>
          <w:rFonts w:hint="eastAsia" w:ascii="宋体" w:hAnsi="宋体" w:eastAsia="宋体"/>
          <w:b/>
          <w:bCs/>
          <w:color w:val="auto"/>
          <w:sz w:val="72"/>
          <w:highlight w:val="none"/>
          <w:lang w:eastAsia="zh-CN"/>
        </w:rPr>
        <w:t>竞</w:t>
      </w:r>
    </w:p>
    <w:p>
      <w:pPr>
        <w:spacing w:line="984" w:lineRule="atLeast"/>
        <w:jc w:val="center"/>
        <w:rPr>
          <w:rFonts w:ascii="宋体" w:hAnsi="宋体" w:eastAsia="宋体"/>
          <w:b/>
          <w:bCs/>
          <w:color w:val="auto"/>
          <w:sz w:val="72"/>
          <w:highlight w:val="none"/>
          <w:lang w:eastAsia="zh-CN"/>
        </w:rPr>
      </w:pPr>
      <w:r>
        <w:rPr>
          <w:rFonts w:hint="eastAsia" w:ascii="宋体" w:hAnsi="宋体" w:eastAsia="宋体"/>
          <w:b/>
          <w:bCs/>
          <w:color w:val="auto"/>
          <w:sz w:val="72"/>
          <w:highlight w:val="none"/>
          <w:lang w:eastAsia="zh-CN"/>
        </w:rPr>
        <w:t>争</w:t>
      </w:r>
    </w:p>
    <w:p>
      <w:pPr>
        <w:spacing w:line="984" w:lineRule="atLeast"/>
        <w:jc w:val="center"/>
        <w:rPr>
          <w:rFonts w:ascii="宋体" w:hAnsi="宋体" w:eastAsia="宋体"/>
          <w:b/>
          <w:bCs/>
          <w:color w:val="auto"/>
          <w:sz w:val="72"/>
          <w:highlight w:val="none"/>
          <w:lang w:eastAsia="zh-CN"/>
        </w:rPr>
      </w:pPr>
      <w:r>
        <w:rPr>
          <w:rFonts w:hint="eastAsia" w:ascii="宋体" w:hAnsi="宋体" w:eastAsia="宋体"/>
          <w:b/>
          <w:bCs/>
          <w:color w:val="auto"/>
          <w:sz w:val="72"/>
          <w:highlight w:val="none"/>
          <w:lang w:eastAsia="zh-CN"/>
        </w:rPr>
        <w:t>性</w:t>
      </w:r>
    </w:p>
    <w:p>
      <w:pPr>
        <w:spacing w:line="984" w:lineRule="atLeast"/>
        <w:jc w:val="center"/>
        <w:rPr>
          <w:rFonts w:ascii="宋体" w:hAnsi="宋体" w:eastAsia="宋体"/>
          <w:b/>
          <w:bCs/>
          <w:color w:val="auto"/>
          <w:sz w:val="72"/>
          <w:highlight w:val="none"/>
          <w:lang w:eastAsia="zh-CN"/>
        </w:rPr>
      </w:pPr>
      <w:r>
        <w:rPr>
          <w:rFonts w:hint="eastAsia" w:ascii="宋体" w:hAnsi="宋体" w:eastAsia="宋体"/>
          <w:b/>
          <w:bCs/>
          <w:color w:val="auto"/>
          <w:sz w:val="72"/>
          <w:highlight w:val="none"/>
          <w:lang w:eastAsia="zh-CN"/>
        </w:rPr>
        <w:t>磋</w:t>
      </w:r>
    </w:p>
    <w:p>
      <w:pPr>
        <w:spacing w:line="984" w:lineRule="atLeast"/>
        <w:jc w:val="center"/>
        <w:rPr>
          <w:rFonts w:ascii="宋体" w:hAnsi="宋体" w:eastAsia="宋体"/>
          <w:b/>
          <w:bCs/>
          <w:color w:val="auto"/>
          <w:sz w:val="72"/>
          <w:highlight w:val="none"/>
          <w:lang w:eastAsia="zh-CN"/>
        </w:rPr>
      </w:pPr>
      <w:r>
        <w:rPr>
          <w:rFonts w:hint="eastAsia" w:ascii="宋体" w:hAnsi="宋体" w:eastAsia="宋体"/>
          <w:b/>
          <w:bCs/>
          <w:color w:val="auto"/>
          <w:sz w:val="72"/>
          <w:highlight w:val="none"/>
          <w:lang w:eastAsia="zh-CN"/>
        </w:rPr>
        <w:t>商</w:t>
      </w:r>
    </w:p>
    <w:p>
      <w:pPr>
        <w:spacing w:line="984" w:lineRule="atLeast"/>
        <w:jc w:val="center"/>
        <w:rPr>
          <w:rFonts w:ascii="宋体" w:hAnsi="宋体" w:eastAsia="宋体"/>
          <w:b/>
          <w:bCs/>
          <w:color w:val="auto"/>
          <w:sz w:val="72"/>
          <w:highlight w:val="none"/>
          <w:lang w:eastAsia="zh-CN"/>
        </w:rPr>
      </w:pPr>
      <w:r>
        <w:rPr>
          <w:rFonts w:hint="eastAsia" w:ascii="宋体" w:hAnsi="宋体" w:eastAsia="宋体"/>
          <w:b/>
          <w:bCs/>
          <w:color w:val="auto"/>
          <w:sz w:val="72"/>
          <w:highlight w:val="none"/>
          <w:lang w:eastAsia="zh-CN"/>
        </w:rPr>
        <w:t>文</w:t>
      </w:r>
    </w:p>
    <w:p>
      <w:pPr>
        <w:spacing w:line="984" w:lineRule="atLeast"/>
        <w:jc w:val="center"/>
        <w:rPr>
          <w:rFonts w:ascii="宋体" w:hAnsi="宋体" w:eastAsia="宋体"/>
          <w:color w:val="auto"/>
          <w:sz w:val="72"/>
          <w:highlight w:val="none"/>
          <w:lang w:eastAsia="zh-CN"/>
        </w:rPr>
      </w:pPr>
      <w:r>
        <w:rPr>
          <w:rFonts w:hint="eastAsia" w:ascii="宋体" w:hAnsi="宋体" w:eastAsia="宋体"/>
          <w:b/>
          <w:bCs/>
          <w:color w:val="auto"/>
          <w:sz w:val="72"/>
          <w:highlight w:val="none"/>
          <w:lang w:eastAsia="zh-CN"/>
        </w:rPr>
        <w:t>件</w:t>
      </w:r>
    </w:p>
    <w:p>
      <w:pPr>
        <w:ind w:firstLine="1660" w:firstLineChars="500"/>
        <w:rPr>
          <w:rFonts w:ascii="宋体" w:hAnsi="宋体" w:eastAsia="宋体"/>
          <w:color w:val="auto"/>
          <w:spacing w:val="6"/>
          <w:sz w:val="32"/>
          <w:szCs w:val="22"/>
          <w:highlight w:val="none"/>
          <w:lang w:eastAsia="zh-CN"/>
        </w:rPr>
      </w:pPr>
      <w:bookmarkStart w:id="118" w:name="_GoBack"/>
      <w:bookmarkEnd w:id="118"/>
    </w:p>
    <w:p>
      <w:pPr>
        <w:jc w:val="center"/>
        <w:rPr>
          <w:rFonts w:ascii="宋体" w:hAnsi="宋体" w:eastAsia="宋体"/>
          <w:color w:val="auto"/>
          <w:spacing w:val="6"/>
          <w:sz w:val="32"/>
          <w:szCs w:val="22"/>
          <w:highlight w:val="none"/>
          <w:lang w:eastAsia="zh-CN"/>
        </w:rPr>
      </w:pPr>
      <w:bookmarkStart w:id="1" w:name="_Toc11210"/>
      <w:r>
        <w:rPr>
          <w:rFonts w:hint="eastAsia" w:ascii="宋体" w:hAnsi="宋体" w:eastAsia="宋体"/>
          <w:color w:val="auto"/>
          <w:spacing w:val="6"/>
          <w:sz w:val="32"/>
          <w:szCs w:val="22"/>
          <w:highlight w:val="none"/>
          <w:lang w:eastAsia="zh-CN"/>
        </w:rPr>
        <w:t>招   标  人：</w:t>
      </w:r>
      <w:bookmarkEnd w:id="1"/>
      <w:r>
        <w:rPr>
          <w:rFonts w:hint="eastAsia" w:ascii="宋体" w:hAnsi="宋体" w:eastAsia="宋体"/>
          <w:color w:val="auto"/>
          <w:spacing w:val="6"/>
          <w:sz w:val="32"/>
          <w:szCs w:val="22"/>
          <w:highlight w:val="none"/>
          <w:lang w:eastAsia="zh-CN"/>
        </w:rPr>
        <w:t>濮阳市化工产业集聚区管理委员会</w:t>
      </w:r>
    </w:p>
    <w:p>
      <w:pPr>
        <w:jc w:val="center"/>
        <w:rPr>
          <w:rFonts w:ascii="宋体" w:hAnsi="宋体" w:eastAsia="宋体"/>
          <w:color w:val="auto"/>
          <w:spacing w:val="6"/>
          <w:sz w:val="32"/>
          <w:highlight w:val="none"/>
          <w:lang w:eastAsia="zh-CN"/>
        </w:rPr>
      </w:pPr>
      <w:bookmarkStart w:id="2" w:name="_Toc11622"/>
      <w:r>
        <w:rPr>
          <w:rFonts w:hint="eastAsia" w:ascii="宋体" w:hAnsi="宋体" w:eastAsia="宋体"/>
          <w:color w:val="auto"/>
          <w:spacing w:val="6"/>
          <w:sz w:val="32"/>
          <w:highlight w:val="none"/>
          <w:lang w:eastAsia="zh-CN"/>
        </w:rPr>
        <w:t>招标代理机构:</w:t>
      </w:r>
      <w:bookmarkEnd w:id="2"/>
      <w:r>
        <w:rPr>
          <w:rFonts w:hint="eastAsia" w:ascii="宋体" w:hAnsi="宋体" w:eastAsia="宋体"/>
          <w:color w:val="auto"/>
          <w:spacing w:val="6"/>
          <w:sz w:val="32"/>
          <w:highlight w:val="none"/>
          <w:lang w:eastAsia="zh-CN"/>
        </w:rPr>
        <w:t>河南省伟信招标管理咨询有限公司</w:t>
      </w:r>
    </w:p>
    <w:p>
      <w:pPr>
        <w:jc w:val="center"/>
        <w:rPr>
          <w:rFonts w:ascii="宋体" w:hAnsi="宋体" w:eastAsia="宋体"/>
          <w:color w:val="auto"/>
          <w:spacing w:val="6"/>
          <w:sz w:val="32"/>
          <w:highlight w:val="none"/>
          <w:lang w:eastAsia="zh-CN"/>
        </w:rPr>
      </w:pPr>
      <w:bookmarkStart w:id="3" w:name="_Toc15849"/>
      <w:r>
        <w:rPr>
          <w:rFonts w:hint="eastAsia" w:ascii="宋体" w:hAnsi="宋体" w:eastAsia="宋体"/>
          <w:color w:val="auto"/>
          <w:spacing w:val="6"/>
          <w:sz w:val="32"/>
          <w:highlight w:val="none"/>
          <w:lang w:eastAsia="zh-CN"/>
        </w:rPr>
        <w:t>二〇二〇年十月</w:t>
      </w:r>
      <w:bookmarkEnd w:id="3"/>
    </w:p>
    <w:p>
      <w:pPr>
        <w:spacing w:line="640" w:lineRule="atLeast"/>
        <w:jc w:val="center"/>
        <w:rPr>
          <w:rFonts w:ascii="宋体" w:hAnsi="宋体" w:eastAsia="宋体"/>
          <w:color w:val="auto"/>
          <w:sz w:val="36"/>
          <w:highlight w:val="none"/>
          <w:lang w:eastAsia="zh-CN"/>
        </w:rPr>
        <w:sectPr>
          <w:headerReference r:id="rId3" w:type="default"/>
          <w:footerReference r:id="rId4" w:type="default"/>
          <w:pgSz w:w="11907" w:h="16834"/>
          <w:pgMar w:top="1440" w:right="1080" w:bottom="1440" w:left="1080" w:header="1077" w:footer="1077" w:gutter="0"/>
          <w:pgNumType w:start="1"/>
          <w:cols w:space="708" w:num="1"/>
          <w:docGrid w:type="lines" w:linePitch="319" w:charSpace="0"/>
        </w:sectPr>
      </w:pPr>
    </w:p>
    <w:p>
      <w:pPr>
        <w:spacing w:line="640" w:lineRule="atLeast"/>
        <w:jc w:val="center"/>
        <w:outlineLvl w:val="0"/>
        <w:rPr>
          <w:rFonts w:ascii="宋体" w:hAnsi="宋体" w:eastAsia="宋体"/>
          <w:b/>
          <w:bCs/>
          <w:color w:val="auto"/>
          <w:sz w:val="36"/>
          <w:highlight w:val="none"/>
          <w:lang w:eastAsia="zh-CN"/>
        </w:rPr>
      </w:pPr>
      <w:bookmarkStart w:id="4" w:name="_Toc25449"/>
      <w:bookmarkStart w:id="5" w:name="_Toc20740"/>
      <w:r>
        <w:rPr>
          <w:rFonts w:hint="eastAsia" w:ascii="宋体" w:hAnsi="宋体" w:eastAsia="宋体"/>
          <w:b/>
          <w:bCs/>
          <w:color w:val="auto"/>
          <w:sz w:val="36"/>
          <w:highlight w:val="none"/>
          <w:lang w:eastAsia="zh-CN"/>
        </w:rPr>
        <w:t>目        录</w:t>
      </w:r>
      <w:bookmarkEnd w:id="4"/>
      <w:bookmarkEnd w:id="5"/>
    </w:p>
    <w:p>
      <w:pPr>
        <w:spacing w:line="640" w:lineRule="atLeast"/>
        <w:jc w:val="center"/>
        <w:rPr>
          <w:rFonts w:ascii="宋体" w:hAnsi="宋体" w:eastAsia="宋体"/>
          <w:color w:val="auto"/>
          <w:sz w:val="36"/>
          <w:highlight w:val="none"/>
          <w:lang w:eastAsia="zh-CN"/>
        </w:rPr>
      </w:pPr>
    </w:p>
    <w:p>
      <w:pPr>
        <w:spacing w:line="960" w:lineRule="auto"/>
        <w:ind w:firstLine="560"/>
        <w:jc w:val="left"/>
        <w:textAlignment w:val="baseline"/>
        <w:rPr>
          <w:rFonts w:ascii="宋体" w:hAnsi="宋体" w:eastAsia="宋体"/>
          <w:b/>
          <w:bCs/>
          <w:color w:val="auto"/>
          <w:sz w:val="32"/>
          <w:szCs w:val="32"/>
          <w:highlight w:val="none"/>
          <w:lang w:eastAsia="zh-CN"/>
        </w:rPr>
      </w:pPr>
      <w:bookmarkStart w:id="6" w:name="_Toc31673"/>
      <w:r>
        <w:rPr>
          <w:rFonts w:hint="eastAsia" w:ascii="宋体" w:hAnsi="宋体" w:eastAsia="宋体"/>
          <w:b/>
          <w:bCs/>
          <w:color w:val="auto"/>
          <w:sz w:val="32"/>
          <w:szCs w:val="32"/>
          <w:highlight w:val="none"/>
          <w:lang w:eastAsia="zh-CN"/>
        </w:rPr>
        <w:t>第一部分  磋商</w:t>
      </w:r>
      <w:bookmarkEnd w:id="6"/>
      <w:r>
        <w:rPr>
          <w:rFonts w:hint="eastAsia" w:ascii="宋体" w:hAnsi="宋体" w:eastAsia="宋体"/>
          <w:b/>
          <w:bCs/>
          <w:color w:val="auto"/>
          <w:sz w:val="32"/>
          <w:szCs w:val="32"/>
          <w:highlight w:val="none"/>
          <w:lang w:eastAsia="zh-CN"/>
        </w:rPr>
        <w:t>公告················1</w:t>
      </w:r>
    </w:p>
    <w:p>
      <w:pPr>
        <w:spacing w:line="960" w:lineRule="auto"/>
        <w:ind w:firstLine="560"/>
        <w:jc w:val="left"/>
        <w:textAlignment w:val="baseline"/>
        <w:rPr>
          <w:rFonts w:ascii="宋体" w:hAnsi="宋体" w:eastAsia="宋体"/>
          <w:b/>
          <w:bCs/>
          <w:color w:val="auto"/>
          <w:sz w:val="32"/>
          <w:szCs w:val="32"/>
          <w:highlight w:val="none"/>
          <w:lang w:eastAsia="zh-CN"/>
        </w:rPr>
      </w:pPr>
      <w:bookmarkStart w:id="7" w:name="_Toc31165"/>
      <w:r>
        <w:rPr>
          <w:rFonts w:hint="eastAsia" w:ascii="宋体" w:hAnsi="宋体" w:eastAsia="宋体"/>
          <w:b/>
          <w:bCs/>
          <w:color w:val="auto"/>
          <w:sz w:val="32"/>
          <w:szCs w:val="32"/>
          <w:highlight w:val="none"/>
          <w:lang w:eastAsia="zh-CN"/>
        </w:rPr>
        <w:t>第二部分  磋商项目要求</w:t>
      </w:r>
      <w:bookmarkEnd w:id="7"/>
      <w:r>
        <w:rPr>
          <w:rFonts w:hint="eastAsia" w:ascii="宋体" w:hAnsi="宋体" w:eastAsia="宋体"/>
          <w:b/>
          <w:bCs/>
          <w:color w:val="auto"/>
          <w:sz w:val="32"/>
          <w:szCs w:val="32"/>
          <w:highlight w:val="none"/>
          <w:lang w:eastAsia="zh-CN"/>
        </w:rPr>
        <w:t>···············4</w:t>
      </w:r>
    </w:p>
    <w:p>
      <w:pPr>
        <w:spacing w:line="960" w:lineRule="auto"/>
        <w:ind w:firstLine="560"/>
        <w:jc w:val="left"/>
        <w:textAlignment w:val="baseline"/>
        <w:rPr>
          <w:rFonts w:ascii="宋体" w:hAnsi="宋体" w:eastAsia="宋体"/>
          <w:b/>
          <w:bCs/>
          <w:color w:val="auto"/>
          <w:sz w:val="32"/>
          <w:szCs w:val="32"/>
          <w:highlight w:val="none"/>
          <w:lang w:eastAsia="zh-CN"/>
        </w:rPr>
      </w:pPr>
      <w:bookmarkStart w:id="8" w:name="_Toc18108"/>
      <w:r>
        <w:rPr>
          <w:rFonts w:hint="eastAsia" w:ascii="宋体" w:hAnsi="宋体" w:eastAsia="宋体"/>
          <w:b/>
          <w:bCs/>
          <w:color w:val="auto"/>
          <w:sz w:val="32"/>
          <w:szCs w:val="32"/>
          <w:highlight w:val="none"/>
          <w:lang w:eastAsia="zh-CN"/>
        </w:rPr>
        <w:t>第三部分  磋商须知</w:t>
      </w:r>
      <w:bookmarkEnd w:id="8"/>
      <w:r>
        <w:rPr>
          <w:rFonts w:hint="eastAsia" w:ascii="宋体" w:hAnsi="宋体" w:eastAsia="宋体"/>
          <w:b/>
          <w:bCs/>
          <w:color w:val="auto"/>
          <w:sz w:val="32"/>
          <w:szCs w:val="32"/>
          <w:highlight w:val="none"/>
          <w:lang w:eastAsia="zh-CN"/>
        </w:rPr>
        <w:t>·················7</w:t>
      </w:r>
    </w:p>
    <w:p>
      <w:pPr>
        <w:spacing w:line="960" w:lineRule="auto"/>
        <w:ind w:firstLine="560"/>
        <w:jc w:val="left"/>
        <w:textAlignment w:val="baseline"/>
        <w:rPr>
          <w:rFonts w:ascii="宋体" w:hAnsi="宋体" w:eastAsia="宋体"/>
          <w:b/>
          <w:bCs/>
          <w:color w:val="auto"/>
          <w:sz w:val="32"/>
          <w:szCs w:val="32"/>
          <w:highlight w:val="none"/>
          <w:lang w:eastAsia="zh-CN"/>
        </w:rPr>
      </w:pPr>
      <w:bookmarkStart w:id="9" w:name="_Toc1613"/>
      <w:r>
        <w:rPr>
          <w:rFonts w:hint="eastAsia" w:ascii="宋体" w:hAnsi="宋体" w:eastAsia="宋体"/>
          <w:b/>
          <w:bCs/>
          <w:color w:val="auto"/>
          <w:sz w:val="32"/>
          <w:szCs w:val="32"/>
          <w:highlight w:val="none"/>
          <w:lang w:eastAsia="zh-CN"/>
        </w:rPr>
        <w:t>第四部分  项目技术要求</w:t>
      </w:r>
      <w:bookmarkEnd w:id="9"/>
      <w:r>
        <w:rPr>
          <w:rFonts w:hint="eastAsia" w:ascii="宋体" w:hAnsi="宋体" w:eastAsia="宋体"/>
          <w:b/>
          <w:bCs/>
          <w:color w:val="auto"/>
          <w:sz w:val="32"/>
          <w:szCs w:val="32"/>
          <w:highlight w:val="none"/>
          <w:lang w:eastAsia="zh-CN"/>
        </w:rPr>
        <w:t>···············12</w:t>
      </w:r>
    </w:p>
    <w:p>
      <w:pPr>
        <w:spacing w:line="960" w:lineRule="auto"/>
        <w:ind w:firstLine="560"/>
        <w:jc w:val="left"/>
        <w:textAlignment w:val="baseline"/>
        <w:rPr>
          <w:rFonts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lang w:eastAsia="zh-CN"/>
        </w:rPr>
        <w:t>第五部分  竞争性磋商评分标准············14</w:t>
      </w:r>
    </w:p>
    <w:p>
      <w:pPr>
        <w:spacing w:line="960" w:lineRule="auto"/>
        <w:ind w:firstLine="560"/>
        <w:jc w:val="left"/>
        <w:textAlignment w:val="baseline"/>
        <w:rPr>
          <w:rFonts w:ascii="宋体" w:hAnsi="宋体" w:eastAsia="宋体"/>
          <w:b/>
          <w:bCs/>
          <w:color w:val="auto"/>
          <w:sz w:val="32"/>
          <w:szCs w:val="32"/>
          <w:highlight w:val="none"/>
          <w:lang w:eastAsia="zh-CN"/>
        </w:rPr>
      </w:pPr>
      <w:bookmarkStart w:id="10" w:name="_Toc8413"/>
      <w:r>
        <w:rPr>
          <w:rFonts w:hint="eastAsia" w:ascii="宋体" w:hAnsi="宋体" w:eastAsia="宋体"/>
          <w:b/>
          <w:bCs/>
          <w:color w:val="auto"/>
          <w:sz w:val="32"/>
          <w:szCs w:val="32"/>
          <w:highlight w:val="none"/>
          <w:lang w:eastAsia="zh-CN"/>
        </w:rPr>
        <w:t>第六部分  合同（文本）</w:t>
      </w:r>
      <w:bookmarkEnd w:id="10"/>
      <w:r>
        <w:rPr>
          <w:rFonts w:hint="eastAsia" w:ascii="宋体" w:hAnsi="宋体" w:eastAsia="宋体"/>
          <w:b/>
          <w:bCs/>
          <w:color w:val="auto"/>
          <w:sz w:val="32"/>
          <w:szCs w:val="32"/>
          <w:highlight w:val="none"/>
          <w:lang w:eastAsia="zh-CN"/>
        </w:rPr>
        <w:t>···············15</w:t>
      </w:r>
    </w:p>
    <w:p>
      <w:pPr>
        <w:spacing w:line="960" w:lineRule="auto"/>
        <w:ind w:firstLine="560"/>
        <w:jc w:val="left"/>
        <w:textAlignment w:val="baseline"/>
        <w:rPr>
          <w:rFonts w:ascii="宋体" w:hAnsi="宋体" w:eastAsia="宋体"/>
          <w:color w:val="auto"/>
          <w:kern w:val="2"/>
          <w:sz w:val="28"/>
          <w:highlight w:val="none"/>
          <w:lang w:eastAsia="zh-CN"/>
        </w:rPr>
      </w:pPr>
      <w:bookmarkStart w:id="11" w:name="_Toc7824"/>
      <w:r>
        <w:rPr>
          <w:rFonts w:hint="eastAsia" w:ascii="宋体" w:hAnsi="宋体" w:eastAsia="宋体"/>
          <w:b/>
          <w:bCs/>
          <w:color w:val="auto"/>
          <w:sz w:val="32"/>
          <w:szCs w:val="32"/>
          <w:highlight w:val="none"/>
          <w:lang w:eastAsia="zh-CN"/>
        </w:rPr>
        <w:t>第七部分  磋商文件格式</w:t>
      </w:r>
      <w:bookmarkEnd w:id="11"/>
      <w:r>
        <w:rPr>
          <w:rFonts w:hint="eastAsia" w:ascii="宋体" w:hAnsi="宋体" w:eastAsia="宋体"/>
          <w:b/>
          <w:bCs/>
          <w:color w:val="auto"/>
          <w:sz w:val="32"/>
          <w:szCs w:val="32"/>
          <w:highlight w:val="none"/>
          <w:lang w:eastAsia="zh-CN"/>
        </w:rPr>
        <w:t>···············21</w:t>
      </w:r>
    </w:p>
    <w:p>
      <w:pPr>
        <w:tabs>
          <w:tab w:val="left" w:pos="2495"/>
        </w:tabs>
        <w:jc w:val="left"/>
        <w:rPr>
          <w:rFonts w:ascii="宋体" w:hAnsi="宋体" w:eastAsia="宋体"/>
          <w:color w:val="auto"/>
          <w:highlight w:val="none"/>
          <w:lang w:eastAsia="zh-CN"/>
        </w:rPr>
      </w:pPr>
    </w:p>
    <w:p>
      <w:pPr>
        <w:pStyle w:val="8"/>
        <w:ind w:left="400"/>
        <w:rPr>
          <w:color w:val="auto"/>
          <w:highlight w:val="none"/>
          <w:lang w:eastAsia="zh-CN"/>
        </w:rPr>
        <w:sectPr>
          <w:headerReference r:id="rId5" w:type="default"/>
          <w:pgSz w:w="11907" w:h="16834"/>
          <w:pgMar w:top="1440" w:right="1080" w:bottom="1440" w:left="1080" w:header="1077" w:footer="1077" w:gutter="0"/>
          <w:pgNumType w:start="1"/>
          <w:cols w:space="708" w:num="1"/>
          <w:docGrid w:type="lines" w:linePitch="319" w:charSpace="0"/>
        </w:sectPr>
      </w:pPr>
    </w:p>
    <w:p>
      <w:pPr>
        <w:spacing w:line="360" w:lineRule="auto"/>
        <w:jc w:val="center"/>
        <w:outlineLvl w:val="0"/>
        <w:rPr>
          <w:rFonts w:ascii="宋体" w:hAnsi="宋体" w:eastAsia="宋体"/>
          <w:b/>
          <w:bCs/>
          <w:color w:val="auto"/>
          <w:sz w:val="36"/>
          <w:highlight w:val="none"/>
          <w:lang w:eastAsia="zh-CN"/>
        </w:rPr>
      </w:pPr>
      <w:bookmarkStart w:id="12" w:name="_Toc29121"/>
      <w:bookmarkStart w:id="13" w:name="_Toc4564"/>
      <w:r>
        <w:rPr>
          <w:rFonts w:hint="eastAsia" w:ascii="宋体" w:hAnsi="宋体" w:eastAsia="宋体"/>
          <w:b/>
          <w:bCs/>
          <w:color w:val="auto"/>
          <w:sz w:val="36"/>
          <w:highlight w:val="none"/>
          <w:lang w:eastAsia="zh-CN"/>
        </w:rPr>
        <w:t>第一部分 磋商</w:t>
      </w:r>
      <w:bookmarkEnd w:id="12"/>
      <w:bookmarkEnd w:id="13"/>
      <w:r>
        <w:rPr>
          <w:rFonts w:hint="eastAsia" w:ascii="宋体" w:hAnsi="宋体" w:eastAsia="宋体"/>
          <w:b/>
          <w:bCs/>
          <w:color w:val="auto"/>
          <w:sz w:val="36"/>
          <w:highlight w:val="none"/>
          <w:lang w:eastAsia="zh-CN"/>
        </w:rPr>
        <w:t>公告</w:t>
      </w:r>
    </w:p>
    <w:p>
      <w:pPr>
        <w:spacing w:line="360" w:lineRule="auto"/>
        <w:rPr>
          <w:rFonts w:ascii="宋体" w:hAnsi="宋体" w:eastAsia="宋体"/>
          <w:color w:val="auto"/>
          <w:sz w:val="21"/>
          <w:szCs w:val="21"/>
          <w:highlight w:val="none"/>
          <w:lang w:eastAsia="zh-CN"/>
        </w:rPr>
      </w:pPr>
      <w:bookmarkStart w:id="14" w:name="_Hlk53090498"/>
      <w:r>
        <w:rPr>
          <w:rFonts w:hint="eastAsia" w:ascii="宋体" w:hAnsi="宋体" w:eastAsia="宋体"/>
          <w:b/>
          <w:bCs/>
          <w:color w:val="auto"/>
          <w:sz w:val="21"/>
          <w:szCs w:val="21"/>
          <w:highlight w:val="none"/>
          <w:lang w:eastAsia="zh-CN"/>
        </w:rPr>
        <w:t>一、采购项目名称：</w:t>
      </w:r>
      <w:r>
        <w:rPr>
          <w:rFonts w:hint="eastAsia" w:ascii="宋体" w:hAnsi="宋体" w:eastAsia="宋体"/>
          <w:color w:val="auto"/>
          <w:sz w:val="21"/>
          <w:szCs w:val="21"/>
          <w:highlight w:val="none"/>
          <w:lang w:eastAsia="zh-CN"/>
        </w:rPr>
        <w:t>濮阳市化工产业集聚区总体发展规划项目</w:t>
      </w:r>
    </w:p>
    <w:p>
      <w:pPr>
        <w:spacing w:line="360" w:lineRule="auto"/>
        <w:rPr>
          <w:rFonts w:ascii="宋体" w:hAnsi="宋体" w:eastAsia="宋体"/>
          <w:color w:val="auto"/>
          <w:sz w:val="21"/>
          <w:szCs w:val="21"/>
          <w:highlight w:val="none"/>
          <w:lang w:eastAsia="zh-CN"/>
        </w:rPr>
      </w:pPr>
      <w:r>
        <w:rPr>
          <w:rFonts w:hint="eastAsia" w:ascii="宋体" w:hAnsi="宋体" w:eastAsia="宋体"/>
          <w:b/>
          <w:bCs/>
          <w:color w:val="auto"/>
          <w:sz w:val="21"/>
          <w:szCs w:val="21"/>
          <w:highlight w:val="none"/>
          <w:lang w:eastAsia="zh-CN"/>
        </w:rPr>
        <w:t>二、采购项目编号：</w:t>
      </w:r>
      <w:r>
        <w:rPr>
          <w:rFonts w:ascii="宋体" w:hAnsi="宋体" w:eastAsia="宋体"/>
          <w:b/>
          <w:bCs/>
          <w:color w:val="auto"/>
          <w:sz w:val="21"/>
          <w:szCs w:val="21"/>
          <w:highlight w:val="none"/>
          <w:lang w:eastAsia="zh-CN"/>
        </w:rPr>
        <w:t>2020-09-18</w:t>
      </w:r>
    </w:p>
    <w:p>
      <w:pPr>
        <w:spacing w:line="312" w:lineRule="auto"/>
        <w:rPr>
          <w:rFonts w:ascii="宋体" w:hAnsi="宋体" w:eastAsia="宋体"/>
          <w:color w:val="auto"/>
          <w:sz w:val="21"/>
          <w:szCs w:val="21"/>
          <w:highlight w:val="none"/>
          <w:lang w:eastAsia="zh-CN"/>
        </w:rPr>
      </w:pPr>
      <w:r>
        <w:rPr>
          <w:rFonts w:hint="eastAsia" w:ascii="宋体" w:hAnsi="宋体" w:eastAsia="宋体"/>
          <w:b/>
          <w:bCs/>
          <w:color w:val="auto"/>
          <w:sz w:val="21"/>
          <w:szCs w:val="21"/>
          <w:highlight w:val="none"/>
          <w:lang w:eastAsia="zh-CN"/>
        </w:rPr>
        <w:t>三、采购预算金额：</w:t>
      </w:r>
      <w:r>
        <w:rPr>
          <w:rFonts w:hint="eastAsia" w:ascii="宋体" w:hAnsi="宋体" w:eastAsia="宋体"/>
          <w:color w:val="auto"/>
          <w:sz w:val="21"/>
          <w:szCs w:val="21"/>
          <w:highlight w:val="none"/>
          <w:lang w:eastAsia="zh-CN"/>
        </w:rPr>
        <w:t>财政资金；</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最高限价：780000.00元；</w:t>
      </w:r>
    </w:p>
    <w:p>
      <w:pPr>
        <w:spacing w:line="360" w:lineRule="auto"/>
        <w:rPr>
          <w:rFonts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四、采购项目需要落实的政府采购政策：</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优先采购节能环保产品：是</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强制采购节能产品：是</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执行促进中小型企业发展政策（监狱企业、残疾人福利性企业视同小微企业）：是</w:t>
      </w:r>
    </w:p>
    <w:p>
      <w:pPr>
        <w:spacing w:line="360" w:lineRule="auto"/>
        <w:rPr>
          <w:rFonts w:ascii="宋体" w:hAnsi="宋体" w:eastAsia="宋体"/>
          <w:color w:val="auto"/>
          <w:sz w:val="21"/>
          <w:szCs w:val="21"/>
          <w:highlight w:val="none"/>
          <w:lang w:eastAsia="zh-CN"/>
        </w:rPr>
      </w:pPr>
      <w:r>
        <w:rPr>
          <w:rFonts w:hint="eastAsia" w:ascii="宋体" w:hAnsi="宋体" w:eastAsia="宋体"/>
          <w:b/>
          <w:bCs/>
          <w:color w:val="auto"/>
          <w:sz w:val="21"/>
          <w:szCs w:val="21"/>
          <w:highlight w:val="none"/>
          <w:lang w:eastAsia="zh-CN"/>
        </w:rPr>
        <w:t>五、项目基本情况：</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1、标包划分：一个标包：濮阳市化工产业集聚区总体发展规划</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2、服务期限：</w:t>
      </w:r>
      <w:r>
        <w:rPr>
          <w:rFonts w:ascii="宋体" w:hAnsi="宋体" w:eastAsia="宋体"/>
          <w:color w:val="auto"/>
          <w:sz w:val="21"/>
          <w:szCs w:val="21"/>
          <w:highlight w:val="none"/>
          <w:lang w:eastAsia="zh-CN"/>
        </w:rPr>
        <w:t>60日历天</w:t>
      </w:r>
      <w:r>
        <w:rPr>
          <w:rFonts w:hint="eastAsia" w:ascii="宋体" w:hAnsi="宋体" w:eastAsia="宋体"/>
          <w:color w:val="auto"/>
          <w:sz w:val="21"/>
          <w:szCs w:val="21"/>
          <w:highlight w:val="none"/>
          <w:lang w:eastAsia="zh-CN"/>
        </w:rPr>
        <w:t>。</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3、质量要求：满足国家相关法律规定和现行行业标准与规范和招标文件要求；</w:t>
      </w:r>
    </w:p>
    <w:p>
      <w:pPr>
        <w:spacing w:line="360" w:lineRule="auto"/>
        <w:rPr>
          <w:rFonts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六、投标人及项目资质服务要求：</w:t>
      </w:r>
    </w:p>
    <w:p>
      <w:pPr>
        <w:spacing w:line="360" w:lineRule="auto"/>
        <w:rPr>
          <w:rFonts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6.1 资格要求：</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1、符合《中华人民共和国政府采购法》规定，国内注册的独立法人、提供营业执照（三证合一的营业执照）</w:t>
      </w:r>
      <w:r>
        <w:rPr>
          <w:rFonts w:ascii="宋体" w:hAnsi="宋体" w:eastAsia="宋体"/>
          <w:color w:val="auto"/>
          <w:sz w:val="21"/>
          <w:szCs w:val="21"/>
          <w:highlight w:val="none"/>
          <w:lang w:eastAsia="zh-CN"/>
        </w:rPr>
        <w:t>,</w:t>
      </w:r>
      <w:r>
        <w:rPr>
          <w:rFonts w:hint="eastAsia" w:ascii="宋体" w:hAnsi="宋体" w:eastAsia="宋体"/>
          <w:color w:val="auto"/>
          <w:sz w:val="21"/>
          <w:szCs w:val="21"/>
          <w:highlight w:val="none"/>
          <w:lang w:eastAsia="zh-CN"/>
        </w:rPr>
        <w:t>且需具有城乡规划甲级资质或化工专业的工程咨询资质或资信证书；</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2、投标人提供2020年1月至今任意六个月缴纳税收和社会保障资金的证明；</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3、投标人提供2019年度的财务审计报告；若公司成立时间不足的，按实际成立年限提供财务报表；</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4、参加政府采购活动前三年或注册公司以来在经营活动中无重大违法记录的书面声明；</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5、</w:t>
      </w:r>
      <w:r>
        <w:rPr>
          <w:rFonts w:ascii="宋体" w:hAnsi="宋体" w:eastAsia="宋体"/>
          <w:color w:val="auto"/>
          <w:sz w:val="21"/>
          <w:szCs w:val="21"/>
          <w:highlight w:val="none"/>
          <w:lang w:eastAsia="zh-CN"/>
        </w:rPr>
        <w:t>拟派项目负责人须具有高级工程师及以上技术职称并具备</w:t>
      </w:r>
      <w:r>
        <w:rPr>
          <w:rFonts w:hint="eastAsia" w:ascii="宋体" w:hAnsi="宋体" w:eastAsia="宋体"/>
          <w:color w:val="auto"/>
          <w:sz w:val="21"/>
          <w:szCs w:val="21"/>
          <w:highlight w:val="none"/>
          <w:lang w:eastAsia="zh-CN"/>
        </w:rPr>
        <w:t>国家注册城乡（市）规划师资格或</w:t>
      </w:r>
      <w:r>
        <w:rPr>
          <w:rFonts w:ascii="宋体" w:hAnsi="宋体" w:eastAsia="宋体"/>
          <w:color w:val="auto"/>
          <w:sz w:val="21"/>
          <w:szCs w:val="21"/>
          <w:highlight w:val="none"/>
          <w:lang w:eastAsia="zh-CN"/>
        </w:rPr>
        <w:t>国家注册咨询师资格；项目负责人须为本公司员工，提供近6个月的社保缴纳证明</w:t>
      </w:r>
      <w:r>
        <w:rPr>
          <w:rFonts w:hint="eastAsia" w:ascii="宋体" w:hAnsi="宋体" w:eastAsia="宋体"/>
          <w:color w:val="auto"/>
          <w:sz w:val="21"/>
          <w:szCs w:val="21"/>
          <w:highlight w:val="none"/>
          <w:lang w:eastAsia="zh-CN"/>
        </w:rPr>
        <w:t>。</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6、根据《关于在政府采购活动中查询及使用信用记录有关问题的通知》（财库[2016]125号）的规定，对列入失信被执行人、重大税收违法案件当事人名单、政府采购严重违法失信行为记录名单的企业，拒绝参与本项目招标投标活动查询渠道：“信用中国”网站（www.creditchina.gov.cn）和中国政府采购网（www.ccgp.gov.cn）政府采购严重违法失信行为记录名单（提供公告期内查询截图）；</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7、本次项目不接受联合体投标。</w:t>
      </w:r>
    </w:p>
    <w:p>
      <w:pPr>
        <w:spacing w:line="360" w:lineRule="auto"/>
        <w:rPr>
          <w:rFonts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七、获取电子竞争性磋商文件事项：</w:t>
      </w:r>
    </w:p>
    <w:p>
      <w:pPr>
        <w:pStyle w:val="53"/>
        <w:spacing w:before="0" w:beforeAutospacing="0" w:afterAutospacing="0" w:line="360" w:lineRule="auto"/>
        <w:rPr>
          <w:rFonts w:ascii="宋体" w:hAnsi="宋体" w:eastAsia="宋体"/>
          <w:bCs w:val="0"/>
          <w:color w:val="auto"/>
          <w:sz w:val="21"/>
          <w:szCs w:val="21"/>
          <w:highlight w:val="none"/>
          <w:lang w:eastAsia="zh-CN"/>
        </w:rPr>
      </w:pPr>
      <w:bookmarkStart w:id="15" w:name="_Toc17215"/>
      <w:bookmarkStart w:id="16" w:name="_Toc13828"/>
      <w:r>
        <w:rPr>
          <w:rFonts w:hint="eastAsia" w:ascii="宋体" w:hAnsi="宋体" w:eastAsia="宋体"/>
          <w:bCs w:val="0"/>
          <w:color w:val="auto"/>
          <w:sz w:val="21"/>
          <w:szCs w:val="21"/>
          <w:highlight w:val="none"/>
          <w:lang w:eastAsia="zh-CN"/>
        </w:rPr>
        <w:t>本次采购活动通过濮阳市公共资源电子化交易平台，进行，信息发布、招标文件的获取、投标文件的制作以及递交、开标、评标、结果公示实行全程电子化。</w:t>
      </w:r>
      <w:bookmarkEnd w:id="15"/>
      <w:bookmarkEnd w:id="16"/>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7.1时间：</w:t>
      </w:r>
      <w:r>
        <w:rPr>
          <w:rFonts w:hint="eastAsia" w:ascii="宋体" w:hAnsi="宋体" w:eastAsia="宋体"/>
          <w:color w:val="auto"/>
          <w:sz w:val="21"/>
          <w:szCs w:val="21"/>
          <w:highlight w:val="none"/>
          <w:u w:val="single"/>
          <w:lang w:eastAsia="zh-CN"/>
        </w:rPr>
        <w:t>2020</w:t>
      </w:r>
      <w:r>
        <w:rPr>
          <w:rFonts w:hint="eastAsia" w:ascii="宋体" w:hAnsi="宋体" w:eastAsia="宋体"/>
          <w:color w:val="auto"/>
          <w:sz w:val="21"/>
          <w:szCs w:val="21"/>
          <w:highlight w:val="none"/>
          <w:lang w:eastAsia="zh-CN"/>
        </w:rPr>
        <w:t>年</w:t>
      </w:r>
      <w:r>
        <w:rPr>
          <w:rFonts w:hint="eastAsia" w:ascii="宋体" w:hAnsi="宋体" w:eastAsia="宋体"/>
          <w:color w:val="auto"/>
          <w:sz w:val="21"/>
          <w:szCs w:val="21"/>
          <w:highlight w:val="none"/>
          <w:lang w:val="en-US" w:eastAsia="zh-CN"/>
        </w:rPr>
        <w:t>10</w:t>
      </w:r>
      <w:r>
        <w:rPr>
          <w:rFonts w:hint="eastAsia" w:ascii="宋体" w:hAnsi="宋体" w:eastAsia="宋体"/>
          <w:color w:val="auto"/>
          <w:sz w:val="21"/>
          <w:szCs w:val="21"/>
          <w:highlight w:val="none"/>
          <w:lang w:eastAsia="zh-CN"/>
        </w:rPr>
        <w:t>月</w:t>
      </w:r>
      <w:r>
        <w:rPr>
          <w:rFonts w:hint="eastAsia" w:ascii="宋体" w:hAnsi="宋体" w:eastAsia="宋体"/>
          <w:color w:val="auto"/>
          <w:sz w:val="21"/>
          <w:szCs w:val="21"/>
          <w:highlight w:val="none"/>
          <w:lang w:val="en-US" w:eastAsia="zh-CN"/>
        </w:rPr>
        <w:t>13</w:t>
      </w:r>
      <w:r>
        <w:rPr>
          <w:rFonts w:hint="eastAsia" w:ascii="宋体" w:hAnsi="宋体" w:eastAsia="宋体"/>
          <w:color w:val="auto"/>
          <w:sz w:val="21"/>
          <w:szCs w:val="21"/>
          <w:highlight w:val="none"/>
          <w:lang w:eastAsia="zh-CN"/>
        </w:rPr>
        <w:t>日</w:t>
      </w:r>
      <w:r>
        <w:rPr>
          <w:rFonts w:hint="eastAsia" w:ascii="宋体" w:hAnsi="宋体" w:eastAsia="宋体"/>
          <w:color w:val="auto"/>
          <w:sz w:val="21"/>
          <w:szCs w:val="21"/>
          <w:highlight w:val="none"/>
          <w:u w:val="single"/>
          <w:lang w:eastAsia="zh-CN"/>
        </w:rPr>
        <w:t xml:space="preserve"> 00 </w:t>
      </w:r>
      <w:r>
        <w:rPr>
          <w:rFonts w:hint="eastAsia" w:ascii="宋体" w:hAnsi="宋体" w:eastAsia="宋体"/>
          <w:color w:val="auto"/>
          <w:sz w:val="21"/>
          <w:szCs w:val="21"/>
          <w:highlight w:val="none"/>
          <w:lang w:eastAsia="zh-CN"/>
        </w:rPr>
        <w:t>时</w:t>
      </w:r>
      <w:r>
        <w:rPr>
          <w:rFonts w:hint="eastAsia" w:ascii="宋体" w:hAnsi="宋体" w:eastAsia="宋体"/>
          <w:color w:val="auto"/>
          <w:sz w:val="21"/>
          <w:szCs w:val="21"/>
          <w:highlight w:val="none"/>
          <w:u w:val="single"/>
          <w:lang w:eastAsia="zh-CN"/>
        </w:rPr>
        <w:t xml:space="preserve"> 00 </w:t>
      </w:r>
      <w:r>
        <w:rPr>
          <w:rFonts w:hint="eastAsia" w:ascii="宋体" w:hAnsi="宋体" w:eastAsia="宋体"/>
          <w:color w:val="auto"/>
          <w:sz w:val="21"/>
          <w:szCs w:val="21"/>
          <w:highlight w:val="none"/>
          <w:lang w:eastAsia="zh-CN"/>
        </w:rPr>
        <w:t>分至</w:t>
      </w:r>
      <w:r>
        <w:rPr>
          <w:rFonts w:hint="eastAsia" w:ascii="宋体" w:hAnsi="宋体" w:eastAsia="宋体"/>
          <w:color w:val="auto"/>
          <w:sz w:val="21"/>
          <w:szCs w:val="21"/>
          <w:highlight w:val="none"/>
          <w:u w:val="single"/>
          <w:lang w:eastAsia="zh-CN"/>
        </w:rPr>
        <w:t xml:space="preserve"> 2020 </w:t>
      </w:r>
      <w:r>
        <w:rPr>
          <w:rFonts w:hint="eastAsia" w:ascii="宋体" w:hAnsi="宋体" w:eastAsia="宋体"/>
          <w:color w:val="auto"/>
          <w:sz w:val="21"/>
          <w:szCs w:val="21"/>
          <w:highlight w:val="none"/>
          <w:lang w:eastAsia="zh-CN"/>
        </w:rPr>
        <w:t>年</w:t>
      </w:r>
      <w:r>
        <w:rPr>
          <w:rFonts w:hint="eastAsia" w:ascii="宋体" w:hAnsi="宋体" w:eastAsia="宋体"/>
          <w:color w:val="auto"/>
          <w:sz w:val="21"/>
          <w:szCs w:val="21"/>
          <w:highlight w:val="none"/>
          <w:lang w:val="en-US" w:eastAsia="zh-CN"/>
        </w:rPr>
        <w:t>10</w:t>
      </w:r>
      <w:r>
        <w:rPr>
          <w:rFonts w:hint="eastAsia" w:ascii="宋体" w:hAnsi="宋体" w:eastAsia="宋体"/>
          <w:color w:val="auto"/>
          <w:sz w:val="21"/>
          <w:szCs w:val="21"/>
          <w:highlight w:val="none"/>
          <w:lang w:eastAsia="zh-CN"/>
        </w:rPr>
        <w:t>月</w:t>
      </w:r>
      <w:r>
        <w:rPr>
          <w:rFonts w:hint="eastAsia" w:ascii="宋体" w:hAnsi="宋体" w:eastAsia="宋体"/>
          <w:color w:val="auto"/>
          <w:sz w:val="21"/>
          <w:szCs w:val="21"/>
          <w:highlight w:val="none"/>
          <w:lang w:val="en-US" w:eastAsia="zh-CN"/>
        </w:rPr>
        <w:t>19</w:t>
      </w:r>
      <w:r>
        <w:rPr>
          <w:rFonts w:hint="eastAsia" w:ascii="宋体" w:hAnsi="宋体" w:eastAsia="宋体"/>
          <w:color w:val="auto"/>
          <w:sz w:val="21"/>
          <w:szCs w:val="21"/>
          <w:highlight w:val="none"/>
          <w:lang w:eastAsia="zh-CN"/>
        </w:rPr>
        <w:t>日</w:t>
      </w:r>
      <w:r>
        <w:rPr>
          <w:rFonts w:hint="eastAsia" w:ascii="宋体" w:hAnsi="宋体" w:eastAsia="宋体"/>
          <w:color w:val="auto"/>
          <w:sz w:val="21"/>
          <w:szCs w:val="21"/>
          <w:highlight w:val="none"/>
          <w:u w:val="single"/>
          <w:lang w:eastAsia="zh-CN"/>
        </w:rPr>
        <w:t xml:space="preserve"> 23 </w:t>
      </w:r>
      <w:r>
        <w:rPr>
          <w:rFonts w:hint="eastAsia" w:ascii="宋体" w:hAnsi="宋体" w:eastAsia="宋体"/>
          <w:color w:val="auto"/>
          <w:sz w:val="21"/>
          <w:szCs w:val="21"/>
          <w:highlight w:val="none"/>
          <w:lang w:eastAsia="zh-CN"/>
        </w:rPr>
        <w:t>时</w:t>
      </w:r>
      <w:r>
        <w:rPr>
          <w:rFonts w:hint="eastAsia" w:ascii="宋体" w:hAnsi="宋体" w:eastAsia="宋体"/>
          <w:color w:val="auto"/>
          <w:sz w:val="21"/>
          <w:szCs w:val="21"/>
          <w:highlight w:val="none"/>
          <w:u w:val="single"/>
          <w:lang w:eastAsia="zh-CN"/>
        </w:rPr>
        <w:t xml:space="preserve"> 59 </w:t>
      </w:r>
      <w:r>
        <w:rPr>
          <w:rFonts w:hint="eastAsia" w:ascii="宋体" w:hAnsi="宋体" w:eastAsia="宋体"/>
          <w:color w:val="auto"/>
          <w:sz w:val="21"/>
          <w:szCs w:val="21"/>
          <w:highlight w:val="none"/>
          <w:lang w:eastAsia="zh-CN"/>
        </w:rPr>
        <w:t>分（北京时间，法定节假日除外）</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7.2地点：濮阳市公共资源交易平台(</w:t>
      </w:r>
      <w:r>
        <w:rPr>
          <w:color w:val="auto"/>
          <w:highlight w:val="none"/>
        </w:rPr>
        <w:fldChar w:fldCharType="begin"/>
      </w:r>
      <w:r>
        <w:rPr>
          <w:color w:val="auto"/>
          <w:highlight w:val="none"/>
        </w:rPr>
        <w:instrText xml:space="preserve"> HYPERLINK "http://111.6.98.235:8001/" </w:instrText>
      </w:r>
      <w:r>
        <w:rPr>
          <w:color w:val="auto"/>
          <w:highlight w:val="none"/>
        </w:rPr>
        <w:fldChar w:fldCharType="separate"/>
      </w:r>
      <w:r>
        <w:rPr>
          <w:rFonts w:hint="eastAsia" w:ascii="宋体" w:hAnsi="宋体" w:eastAsia="宋体"/>
          <w:color w:val="auto"/>
          <w:sz w:val="21"/>
          <w:szCs w:val="21"/>
          <w:highlight w:val="none"/>
          <w:lang w:eastAsia="zh-CN"/>
        </w:rPr>
        <w:t>http://111.6.121.10:8088/</w:t>
      </w:r>
      <w:r>
        <w:rPr>
          <w:rFonts w:hint="eastAsia" w:ascii="宋体" w:hAnsi="宋体" w:eastAsia="宋体"/>
          <w:color w:val="auto"/>
          <w:sz w:val="21"/>
          <w:szCs w:val="21"/>
          <w:highlight w:val="none"/>
          <w:lang w:eastAsia="zh-CN"/>
        </w:rPr>
        <w:fldChar w:fldCharType="end"/>
      </w:r>
      <w:r>
        <w:rPr>
          <w:rFonts w:hint="eastAsia" w:ascii="宋体" w:hAnsi="宋体" w:eastAsia="宋体"/>
          <w:color w:val="auto"/>
          <w:sz w:val="21"/>
          <w:szCs w:val="21"/>
          <w:highlight w:val="none"/>
          <w:lang w:eastAsia="zh-CN"/>
        </w:rPr>
        <w:t>)</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7.3方式：登陆濮阳市公共资源交易平台(</w:t>
      </w:r>
      <w:r>
        <w:rPr>
          <w:color w:val="auto"/>
          <w:highlight w:val="none"/>
        </w:rPr>
        <w:fldChar w:fldCharType="begin"/>
      </w:r>
      <w:r>
        <w:rPr>
          <w:color w:val="auto"/>
          <w:highlight w:val="none"/>
        </w:rPr>
        <w:instrText xml:space="preserve"> HYPERLINK "http://111.6.98.235:8001/" </w:instrText>
      </w:r>
      <w:r>
        <w:rPr>
          <w:color w:val="auto"/>
          <w:highlight w:val="none"/>
        </w:rPr>
        <w:fldChar w:fldCharType="separate"/>
      </w:r>
      <w:r>
        <w:rPr>
          <w:rStyle w:val="33"/>
          <w:rFonts w:hint="eastAsia" w:ascii="宋体" w:hAnsi="宋体" w:eastAsia="宋体"/>
          <w:color w:val="auto"/>
          <w:sz w:val="21"/>
          <w:szCs w:val="21"/>
          <w:highlight w:val="none"/>
          <w:lang w:eastAsia="zh-CN"/>
        </w:rPr>
        <w:t>http://111.6.121.10:8088/</w:t>
      </w:r>
      <w:r>
        <w:rPr>
          <w:rStyle w:val="33"/>
          <w:rFonts w:hint="eastAsia" w:ascii="宋体" w:hAnsi="宋体" w:eastAsia="宋体"/>
          <w:color w:val="auto"/>
          <w:sz w:val="21"/>
          <w:szCs w:val="21"/>
          <w:highlight w:val="none"/>
          <w:lang w:eastAsia="zh-CN"/>
        </w:rPr>
        <w:fldChar w:fldCharType="end"/>
      </w:r>
      <w:r>
        <w:rPr>
          <w:rFonts w:hint="eastAsia" w:ascii="宋体" w:hAnsi="宋体" w:eastAsia="宋体"/>
          <w:color w:val="auto"/>
          <w:sz w:val="21"/>
          <w:szCs w:val="21"/>
          <w:highlight w:val="none"/>
          <w:lang w:eastAsia="zh-CN"/>
        </w:rPr>
        <w:t>)免费下载招标文件；</w:t>
      </w:r>
    </w:p>
    <w:p>
      <w:pPr>
        <w:pStyle w:val="8"/>
        <w:spacing w:line="360" w:lineRule="auto"/>
        <w:ind w:left="0" w:leftChars="0"/>
        <w:rPr>
          <w:rFonts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注：首次进入濮阳市公共资源交易平台参加投标的供应商应首先办理以下事项：</w:t>
      </w:r>
    </w:p>
    <w:p>
      <w:pPr>
        <w:pStyle w:val="8"/>
        <w:spacing w:line="360" w:lineRule="auto"/>
        <w:ind w:left="0" w:leftChars="0"/>
        <w:rPr>
          <w:rFonts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①办理数字证书：在濮阳市公共资源交易网（http://www. pyggzy.com:89/）上査看办事指南，准备办证资料，携带数字证书申请表及相关资料前往数字证书受理点办理。受理场地：濮阳市振兴路与安康路交叉口向西200米路南（安康路32号濮医北区入口对面），客服电话400-112-3838联系电话：16639338626；河南省郑州市郑东新区绿地之窗云峰座A座1011室，办公时间：工作日周一至周四上午9：00-12:00下午14:00-18:00 ,联系电话：0371-85519951。</w:t>
      </w:r>
    </w:p>
    <w:p>
      <w:pPr>
        <w:pStyle w:val="8"/>
        <w:spacing w:line="360" w:lineRule="auto"/>
        <w:ind w:left="0" w:leftChars="0"/>
        <w:rPr>
          <w:rFonts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②供应商信用信息录入：登陆濮阳市公共资源交易平台（http://111.6.121.10:8088/）按照《濮阳市主体库操作流程以及注册信息介绍》要求完成企业信息录入。</w:t>
      </w:r>
    </w:p>
    <w:p>
      <w:pPr>
        <w:pStyle w:val="8"/>
        <w:spacing w:line="360" w:lineRule="auto"/>
        <w:ind w:left="0" w:leftChars="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7.4、售价：无；</w:t>
      </w:r>
    </w:p>
    <w:p>
      <w:pPr>
        <w:pStyle w:val="8"/>
        <w:spacing w:line="360" w:lineRule="auto"/>
        <w:ind w:left="0" w:leftChars="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7.5、本项目不收取投标保证金。</w:t>
      </w:r>
    </w:p>
    <w:p>
      <w:pPr>
        <w:spacing w:line="360" w:lineRule="auto"/>
        <w:rPr>
          <w:rFonts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八、响应文件提交的截止时间及地点</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1、时间：2020年</w:t>
      </w:r>
      <w:r>
        <w:rPr>
          <w:rFonts w:hint="eastAsia" w:ascii="宋体" w:hAnsi="宋体" w:eastAsia="宋体"/>
          <w:color w:val="auto"/>
          <w:sz w:val="21"/>
          <w:szCs w:val="21"/>
          <w:highlight w:val="none"/>
          <w:lang w:val="en-US" w:eastAsia="zh-CN"/>
        </w:rPr>
        <w:t>10</w:t>
      </w:r>
      <w:r>
        <w:rPr>
          <w:rFonts w:hint="eastAsia" w:ascii="宋体" w:hAnsi="宋体" w:eastAsia="宋体"/>
          <w:color w:val="auto"/>
          <w:sz w:val="21"/>
          <w:szCs w:val="21"/>
          <w:highlight w:val="none"/>
          <w:lang w:eastAsia="zh-CN"/>
        </w:rPr>
        <w:t>月</w:t>
      </w:r>
      <w:r>
        <w:rPr>
          <w:rFonts w:hint="eastAsia" w:ascii="宋体" w:hAnsi="宋体" w:eastAsia="宋体"/>
          <w:color w:val="auto"/>
          <w:sz w:val="21"/>
          <w:szCs w:val="21"/>
          <w:highlight w:val="none"/>
          <w:lang w:val="en-US" w:eastAsia="zh-CN"/>
        </w:rPr>
        <w:t>26</w:t>
      </w:r>
      <w:r>
        <w:rPr>
          <w:rFonts w:hint="eastAsia" w:ascii="宋体" w:hAnsi="宋体" w:eastAsia="宋体"/>
          <w:color w:val="auto"/>
          <w:sz w:val="21"/>
          <w:szCs w:val="21"/>
          <w:highlight w:val="none"/>
          <w:lang w:eastAsia="zh-CN"/>
        </w:rPr>
        <w:t>日</w:t>
      </w:r>
      <w:r>
        <w:rPr>
          <w:rFonts w:hint="eastAsia" w:ascii="宋体" w:hAnsi="宋体" w:eastAsia="宋体"/>
          <w:color w:val="auto"/>
          <w:sz w:val="21"/>
          <w:szCs w:val="21"/>
          <w:highlight w:val="none"/>
          <w:lang w:val="en-US" w:eastAsia="zh-CN"/>
        </w:rPr>
        <w:t>9</w:t>
      </w:r>
      <w:r>
        <w:rPr>
          <w:rFonts w:hint="eastAsia" w:ascii="宋体" w:hAnsi="宋体" w:eastAsia="宋体"/>
          <w:color w:val="auto"/>
          <w:sz w:val="21"/>
          <w:szCs w:val="21"/>
          <w:highlight w:val="none"/>
          <w:lang w:eastAsia="zh-CN"/>
        </w:rPr>
        <w:t>时</w:t>
      </w:r>
      <w:r>
        <w:rPr>
          <w:rFonts w:hint="eastAsia" w:ascii="宋体" w:hAnsi="宋体" w:eastAsia="宋体"/>
          <w:color w:val="auto"/>
          <w:sz w:val="21"/>
          <w:szCs w:val="21"/>
          <w:highlight w:val="none"/>
          <w:lang w:val="en-US" w:eastAsia="zh-CN"/>
        </w:rPr>
        <w:t>30</w:t>
      </w:r>
      <w:r>
        <w:rPr>
          <w:rFonts w:hint="eastAsia" w:ascii="宋体" w:hAnsi="宋体" w:eastAsia="宋体"/>
          <w:color w:val="auto"/>
          <w:sz w:val="21"/>
          <w:szCs w:val="21"/>
          <w:highlight w:val="none"/>
          <w:lang w:eastAsia="zh-CN"/>
        </w:rPr>
        <w:t>分（北京时间）。</w:t>
      </w:r>
    </w:p>
    <w:p>
      <w:p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2、地址：濮阳市公共资源交易平台(</w:t>
      </w:r>
      <w:r>
        <w:rPr>
          <w:color w:val="auto"/>
          <w:highlight w:val="none"/>
        </w:rPr>
        <w:fldChar w:fldCharType="begin"/>
      </w:r>
      <w:r>
        <w:rPr>
          <w:color w:val="auto"/>
          <w:highlight w:val="none"/>
        </w:rPr>
        <w:instrText xml:space="preserve"> HYPERLINK "http://111.6.98.235:8001/" </w:instrText>
      </w:r>
      <w:r>
        <w:rPr>
          <w:color w:val="auto"/>
          <w:highlight w:val="none"/>
        </w:rPr>
        <w:fldChar w:fldCharType="separate"/>
      </w:r>
      <w:r>
        <w:rPr>
          <w:rStyle w:val="33"/>
          <w:rFonts w:hint="eastAsia" w:ascii="宋体" w:hAnsi="宋体" w:eastAsia="宋体"/>
          <w:color w:val="auto"/>
          <w:sz w:val="21"/>
          <w:szCs w:val="21"/>
          <w:highlight w:val="none"/>
          <w:lang w:eastAsia="zh-CN"/>
        </w:rPr>
        <w:t>http://111.6.121.10:8088</w:t>
      </w:r>
      <w:r>
        <w:rPr>
          <w:rStyle w:val="33"/>
          <w:rFonts w:hint="eastAsia" w:ascii="宋体" w:hAnsi="宋体" w:eastAsia="宋体"/>
          <w:color w:val="auto"/>
          <w:sz w:val="21"/>
          <w:szCs w:val="21"/>
          <w:highlight w:val="none"/>
        </w:rPr>
        <w:t>/</w:t>
      </w:r>
      <w:r>
        <w:rPr>
          <w:rStyle w:val="33"/>
          <w:rFonts w:hint="eastAsia" w:ascii="宋体" w:hAnsi="宋体" w:eastAsia="宋体"/>
          <w:color w:val="auto"/>
          <w:sz w:val="21"/>
          <w:szCs w:val="21"/>
          <w:highlight w:val="none"/>
        </w:rPr>
        <w:fldChar w:fldCharType="end"/>
      </w:r>
      <w:r>
        <w:rPr>
          <w:rFonts w:hint="eastAsia" w:ascii="宋体" w:hAnsi="宋体" w:eastAsia="宋体"/>
          <w:color w:val="auto"/>
          <w:sz w:val="21"/>
          <w:szCs w:val="21"/>
          <w:highlight w:val="none"/>
        </w:rPr>
        <w:t>)（第</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开标室）。</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3、投标文件递交方式：网上递交。</w:t>
      </w:r>
    </w:p>
    <w:p>
      <w:pPr>
        <w:pStyle w:val="24"/>
        <w:widowControl/>
        <w:spacing w:line="360" w:lineRule="auto"/>
        <w:textAlignment w:val="baseline"/>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本次交易项目实行全流程电子化，投标人（供应商）不需到现场参加开标活动。实行网上开标、远程解密及网上提交二次报价。各投标人（供应商）需要自备计算机且保证网络畅通，能够登录濮阳市公共资源交易平台</w:t>
      </w:r>
      <w:r>
        <w:rPr>
          <w:rFonts w:hint="eastAsia" w:ascii="宋体" w:hAnsi="宋体" w:eastAsia="宋体" w:cs="宋体"/>
          <w:b/>
          <w:bCs/>
          <w:color w:val="auto"/>
          <w:sz w:val="21"/>
          <w:szCs w:val="21"/>
          <w:highlight w:val="none"/>
          <w:lang w:eastAsia="zh-CN"/>
        </w:rPr>
        <w:t>http://111.6.121.10:8088</w:t>
      </w:r>
      <w:r>
        <w:rPr>
          <w:rFonts w:hint="eastAsia" w:ascii="宋体" w:hAnsi="宋体" w:eastAsia="宋体" w:cs="宋体"/>
          <w:b/>
          <w:bCs/>
          <w:color w:val="auto"/>
          <w:sz w:val="21"/>
          <w:szCs w:val="21"/>
          <w:highlight w:val="none"/>
        </w:rPr>
        <w:t>/（注：使用IE浏览器）。插入CA数字证书打开投标人界面，参加网上开标。各投标人（供应商）需通过网络密切关注项目交易全过程，所有交易环节材料均依据电子文件为准。</w:t>
      </w:r>
    </w:p>
    <w:p>
      <w:pPr>
        <w:pStyle w:val="24"/>
        <w:widowControl/>
        <w:spacing w:line="360" w:lineRule="auto"/>
        <w:textAlignment w:val="baseline"/>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远程解密及提交二次报价时间：远程解密（解密时间自开标时间始30分钟结束）、提交二次报价（自下达二次报价命令始30分钟结束），由于投标人（供应商）错过解密、报价时间或其他自身原因导致远程解密不成功或者二次报价不成功，责任均由投标人（供应商）自行承担。</w:t>
      </w:r>
    </w:p>
    <w:p>
      <w:pPr>
        <w:spacing w:line="360" w:lineRule="auto"/>
        <w:rPr>
          <w:rFonts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九、响应文件的开启时间及地点：</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1、时间：2020年</w:t>
      </w:r>
      <w:r>
        <w:rPr>
          <w:rFonts w:hint="eastAsia" w:ascii="宋体" w:hAnsi="宋体" w:eastAsia="宋体"/>
          <w:color w:val="auto"/>
          <w:sz w:val="21"/>
          <w:szCs w:val="21"/>
          <w:highlight w:val="none"/>
          <w:lang w:val="en-US" w:eastAsia="zh-CN"/>
        </w:rPr>
        <w:t>10</w:t>
      </w:r>
      <w:r>
        <w:rPr>
          <w:rFonts w:hint="eastAsia" w:ascii="宋体" w:hAnsi="宋体" w:eastAsia="宋体"/>
          <w:color w:val="auto"/>
          <w:sz w:val="21"/>
          <w:szCs w:val="21"/>
          <w:highlight w:val="none"/>
          <w:lang w:eastAsia="zh-CN"/>
        </w:rPr>
        <w:t>月</w:t>
      </w:r>
      <w:r>
        <w:rPr>
          <w:rFonts w:hint="eastAsia" w:ascii="宋体" w:hAnsi="宋体" w:eastAsia="宋体"/>
          <w:color w:val="auto"/>
          <w:sz w:val="21"/>
          <w:szCs w:val="21"/>
          <w:highlight w:val="none"/>
          <w:lang w:val="en-US" w:eastAsia="zh-CN"/>
        </w:rPr>
        <w:t>26</w:t>
      </w:r>
      <w:r>
        <w:rPr>
          <w:rFonts w:hint="eastAsia" w:ascii="宋体" w:hAnsi="宋体" w:eastAsia="宋体"/>
          <w:color w:val="auto"/>
          <w:sz w:val="21"/>
          <w:szCs w:val="21"/>
          <w:highlight w:val="none"/>
          <w:lang w:eastAsia="zh-CN"/>
        </w:rPr>
        <w:t>日</w:t>
      </w:r>
      <w:r>
        <w:rPr>
          <w:rFonts w:hint="eastAsia" w:ascii="宋体" w:hAnsi="宋体" w:eastAsia="宋体"/>
          <w:color w:val="auto"/>
          <w:sz w:val="21"/>
          <w:szCs w:val="21"/>
          <w:highlight w:val="none"/>
          <w:lang w:val="en-US" w:eastAsia="zh-CN"/>
        </w:rPr>
        <w:t>9</w:t>
      </w:r>
      <w:r>
        <w:rPr>
          <w:rFonts w:hint="eastAsia" w:ascii="宋体" w:hAnsi="宋体" w:eastAsia="宋体"/>
          <w:color w:val="auto"/>
          <w:sz w:val="21"/>
          <w:szCs w:val="21"/>
          <w:highlight w:val="none"/>
          <w:lang w:eastAsia="zh-CN"/>
        </w:rPr>
        <w:t>时</w:t>
      </w:r>
      <w:r>
        <w:rPr>
          <w:rFonts w:hint="eastAsia" w:ascii="宋体" w:hAnsi="宋体" w:eastAsia="宋体"/>
          <w:color w:val="auto"/>
          <w:sz w:val="21"/>
          <w:szCs w:val="21"/>
          <w:highlight w:val="none"/>
          <w:lang w:val="en-US" w:eastAsia="zh-CN"/>
        </w:rPr>
        <w:t>30</w:t>
      </w:r>
      <w:r>
        <w:rPr>
          <w:rFonts w:hint="eastAsia" w:ascii="宋体" w:hAnsi="宋体" w:eastAsia="宋体"/>
          <w:color w:val="auto"/>
          <w:sz w:val="21"/>
          <w:szCs w:val="21"/>
          <w:highlight w:val="none"/>
          <w:lang w:eastAsia="zh-CN"/>
        </w:rPr>
        <w:t>分（北京时间）。</w:t>
      </w:r>
    </w:p>
    <w:p>
      <w:pPr>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2、地址：濮阳市公共资源交易平台(</w:t>
      </w:r>
      <w:r>
        <w:rPr>
          <w:color w:val="auto"/>
          <w:highlight w:val="none"/>
        </w:rPr>
        <w:fldChar w:fldCharType="begin"/>
      </w:r>
      <w:r>
        <w:rPr>
          <w:color w:val="auto"/>
          <w:highlight w:val="none"/>
        </w:rPr>
        <w:instrText xml:space="preserve"> HYPERLINK "http://111.6.98.235:8001/" </w:instrText>
      </w:r>
      <w:r>
        <w:rPr>
          <w:color w:val="auto"/>
          <w:highlight w:val="none"/>
        </w:rPr>
        <w:fldChar w:fldCharType="separate"/>
      </w:r>
      <w:r>
        <w:rPr>
          <w:rStyle w:val="33"/>
          <w:rFonts w:hint="eastAsia" w:ascii="宋体" w:hAnsi="宋体" w:eastAsia="宋体"/>
          <w:color w:val="auto"/>
          <w:sz w:val="21"/>
          <w:szCs w:val="21"/>
          <w:highlight w:val="none"/>
          <w:lang w:eastAsia="zh-CN"/>
        </w:rPr>
        <w:t>http://111.6.121.10:8088</w:t>
      </w:r>
      <w:r>
        <w:rPr>
          <w:rStyle w:val="33"/>
          <w:rFonts w:hint="eastAsia" w:ascii="宋体" w:hAnsi="宋体" w:eastAsia="宋体"/>
          <w:color w:val="auto"/>
          <w:sz w:val="21"/>
          <w:szCs w:val="21"/>
          <w:highlight w:val="none"/>
        </w:rPr>
        <w:t>/</w:t>
      </w:r>
      <w:r>
        <w:rPr>
          <w:rStyle w:val="33"/>
          <w:rFonts w:hint="eastAsia" w:ascii="宋体" w:hAnsi="宋体" w:eastAsia="宋体"/>
          <w:color w:val="auto"/>
          <w:sz w:val="21"/>
          <w:szCs w:val="21"/>
          <w:highlight w:val="none"/>
        </w:rPr>
        <w:fldChar w:fldCharType="end"/>
      </w:r>
      <w:r>
        <w:rPr>
          <w:rFonts w:hint="eastAsia" w:ascii="宋体" w:hAnsi="宋体" w:eastAsia="宋体"/>
          <w:color w:val="auto"/>
          <w:sz w:val="21"/>
          <w:szCs w:val="21"/>
          <w:highlight w:val="none"/>
        </w:rPr>
        <w:t>)（第</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开标室）。</w:t>
      </w:r>
    </w:p>
    <w:p>
      <w:pPr>
        <w:spacing w:line="360" w:lineRule="auto"/>
        <w:rPr>
          <w:rFonts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十、发布公告的媒介及公告期限：</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本次公告同时在《河南省政府采购网》、《濮阳市政府采购网》、《濮阳市公共资源交易平台》(http://111.6.121.10:8088/）媒介上发布。</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公告期限为五个工作日。</w:t>
      </w:r>
    </w:p>
    <w:p>
      <w:pPr>
        <w:spacing w:line="360" w:lineRule="auto"/>
        <w:rPr>
          <w:rFonts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十一、联系方式</w:t>
      </w:r>
    </w:p>
    <w:p>
      <w:pPr>
        <w:widowControl/>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11.1采购人：濮阳市化工产业集聚区管理委员会</w:t>
      </w:r>
    </w:p>
    <w:p>
      <w:pPr>
        <w:widowControl/>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地址：濮阳市濮阳县户部寨镇人民政府对面</w:t>
      </w:r>
    </w:p>
    <w:p>
      <w:pPr>
        <w:widowControl/>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联系人：陈先生</w:t>
      </w:r>
    </w:p>
    <w:p>
      <w:pPr>
        <w:widowControl/>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联系方式：0393-3550016</w:t>
      </w:r>
    </w:p>
    <w:p>
      <w:pPr>
        <w:widowControl/>
        <w:spacing w:line="360" w:lineRule="auto"/>
        <w:rPr>
          <w:rFonts w:ascii="宋体" w:hAnsi="宋体" w:eastAsia="宋体"/>
          <w:color w:val="auto"/>
          <w:sz w:val="21"/>
          <w:szCs w:val="21"/>
          <w:highlight w:val="none"/>
          <w:lang w:val="zh-CN" w:eastAsia="zh-CN"/>
        </w:rPr>
      </w:pPr>
      <w:r>
        <w:rPr>
          <w:rFonts w:hint="eastAsia" w:ascii="宋体" w:hAnsi="宋体" w:eastAsia="宋体"/>
          <w:color w:val="auto"/>
          <w:sz w:val="21"/>
          <w:szCs w:val="21"/>
          <w:highlight w:val="none"/>
          <w:lang w:eastAsia="zh-CN"/>
        </w:rPr>
        <w:t>11.</w:t>
      </w:r>
      <w:r>
        <w:rPr>
          <w:rFonts w:hint="eastAsia" w:ascii="宋体" w:hAnsi="宋体" w:eastAsia="宋体"/>
          <w:color w:val="auto"/>
          <w:sz w:val="21"/>
          <w:szCs w:val="21"/>
          <w:highlight w:val="none"/>
          <w:lang w:val="zh-CN" w:eastAsia="zh-CN"/>
        </w:rPr>
        <w:t>2采购代理机构：河南省伟信招标管理咨询有限公司</w:t>
      </w:r>
    </w:p>
    <w:p>
      <w:pPr>
        <w:widowControl/>
        <w:spacing w:line="360" w:lineRule="auto"/>
        <w:rPr>
          <w:rFonts w:ascii="宋体" w:hAnsi="宋体" w:eastAsia="宋体"/>
          <w:color w:val="auto"/>
          <w:sz w:val="21"/>
          <w:szCs w:val="21"/>
          <w:highlight w:val="none"/>
          <w:lang w:val="zh-CN" w:eastAsia="zh-CN"/>
        </w:rPr>
      </w:pPr>
      <w:r>
        <w:rPr>
          <w:rFonts w:hint="eastAsia" w:ascii="宋体" w:hAnsi="宋体" w:eastAsia="宋体"/>
          <w:color w:val="auto"/>
          <w:sz w:val="21"/>
          <w:szCs w:val="21"/>
          <w:highlight w:val="none"/>
          <w:lang w:val="zh-CN" w:eastAsia="zh-CN"/>
        </w:rPr>
        <w:t>地址：河南自贸试验区郑州片区(郑东)东风南路创业路绿地中心北塔17楼</w:t>
      </w:r>
    </w:p>
    <w:p>
      <w:pPr>
        <w:widowControl/>
        <w:spacing w:line="360" w:lineRule="auto"/>
        <w:rPr>
          <w:rFonts w:ascii="宋体" w:hAnsi="宋体" w:eastAsia="宋体"/>
          <w:color w:val="auto"/>
          <w:sz w:val="21"/>
          <w:szCs w:val="21"/>
          <w:highlight w:val="none"/>
          <w:lang w:val="zh-CN" w:eastAsia="zh-CN"/>
        </w:rPr>
      </w:pPr>
      <w:r>
        <w:rPr>
          <w:rFonts w:hint="eastAsia" w:ascii="宋体" w:hAnsi="宋体" w:eastAsia="宋体"/>
          <w:color w:val="auto"/>
          <w:sz w:val="21"/>
          <w:szCs w:val="21"/>
          <w:highlight w:val="none"/>
          <w:lang w:val="zh-CN" w:eastAsia="zh-CN"/>
        </w:rPr>
        <w:t>联系人：张女士</w:t>
      </w:r>
    </w:p>
    <w:p>
      <w:pPr>
        <w:widowControl/>
        <w:spacing w:line="360" w:lineRule="auto"/>
        <w:rPr>
          <w:rFonts w:ascii="宋体" w:hAnsi="宋体" w:eastAsia="宋体"/>
          <w:color w:val="auto"/>
          <w:sz w:val="21"/>
          <w:szCs w:val="21"/>
          <w:highlight w:val="none"/>
          <w:lang w:val="zh-CN" w:eastAsia="zh-CN"/>
        </w:rPr>
      </w:pPr>
      <w:r>
        <w:rPr>
          <w:rFonts w:hint="eastAsia" w:ascii="宋体" w:hAnsi="宋体" w:eastAsia="宋体"/>
          <w:color w:val="auto"/>
          <w:sz w:val="21"/>
          <w:szCs w:val="21"/>
          <w:highlight w:val="none"/>
          <w:lang w:val="zh-CN" w:eastAsia="zh-CN"/>
        </w:rPr>
        <w:t>电话：15936777609</w:t>
      </w:r>
    </w:p>
    <w:p>
      <w:pPr>
        <w:widowControl/>
        <w:spacing w:line="360" w:lineRule="auto"/>
        <w:ind w:left="6102" w:leftChars="2631" w:hanging="840" w:hangingChars="400"/>
        <w:rPr>
          <w:rFonts w:ascii="宋体" w:hAnsi="宋体" w:eastAsia="宋体"/>
          <w:color w:val="auto"/>
          <w:sz w:val="21"/>
          <w:szCs w:val="21"/>
          <w:highlight w:val="none"/>
          <w:lang w:val="zh-CN" w:eastAsia="zh-CN"/>
        </w:rPr>
      </w:pPr>
      <w:r>
        <w:rPr>
          <w:rFonts w:hint="eastAsia" w:ascii="宋体" w:hAnsi="宋体" w:eastAsia="宋体"/>
          <w:color w:val="auto"/>
          <w:sz w:val="21"/>
          <w:szCs w:val="21"/>
          <w:highlight w:val="none"/>
          <w:lang w:val="zh-CN" w:eastAsia="zh-CN"/>
        </w:rPr>
        <w:t>发布人：</w:t>
      </w:r>
      <w:r>
        <w:rPr>
          <w:rFonts w:hint="eastAsia" w:ascii="宋体" w:hAnsi="宋体" w:eastAsia="宋体"/>
          <w:color w:val="auto"/>
          <w:sz w:val="21"/>
          <w:szCs w:val="21"/>
          <w:highlight w:val="none"/>
          <w:lang w:eastAsia="zh-CN"/>
        </w:rPr>
        <w:t>濮阳市化工产业集聚区管理委员会</w:t>
      </w:r>
    </w:p>
    <w:p>
      <w:pPr>
        <w:widowControl/>
        <w:spacing w:line="360" w:lineRule="auto"/>
        <w:ind w:firstLine="5250" w:firstLineChars="2500"/>
        <w:rPr>
          <w:rFonts w:ascii="宋体" w:hAnsi="宋体" w:eastAsia="宋体"/>
          <w:color w:val="auto"/>
          <w:sz w:val="21"/>
          <w:szCs w:val="21"/>
          <w:highlight w:val="none"/>
          <w:lang w:val="zh-CN" w:eastAsia="zh-CN"/>
        </w:rPr>
        <w:sectPr>
          <w:headerReference r:id="rId6" w:type="default"/>
          <w:footerReference r:id="rId7" w:type="default"/>
          <w:pgSz w:w="11907" w:h="16834"/>
          <w:pgMar w:top="1440" w:right="1080" w:bottom="1440" w:left="1080" w:header="1077" w:footer="1077" w:gutter="0"/>
          <w:cols w:space="708" w:num="1"/>
          <w:docGrid w:type="lines" w:linePitch="319" w:charSpace="0"/>
        </w:sectPr>
      </w:pPr>
      <w:r>
        <w:rPr>
          <w:rFonts w:hint="eastAsia" w:ascii="宋体" w:hAnsi="宋体" w:eastAsia="宋体"/>
          <w:color w:val="auto"/>
          <w:sz w:val="21"/>
          <w:szCs w:val="21"/>
          <w:highlight w:val="none"/>
          <w:lang w:val="zh-CN" w:eastAsia="zh-CN"/>
        </w:rPr>
        <w:t>发布时间：</w:t>
      </w:r>
      <w:r>
        <w:rPr>
          <w:rFonts w:hint="eastAsia" w:ascii="宋体" w:hAnsi="宋体" w:eastAsia="宋体"/>
          <w:color w:val="auto"/>
          <w:sz w:val="21"/>
          <w:szCs w:val="21"/>
          <w:highlight w:val="none"/>
          <w:lang w:eastAsia="zh-CN"/>
        </w:rPr>
        <w:t>2020</w:t>
      </w:r>
      <w:r>
        <w:rPr>
          <w:rFonts w:hint="eastAsia" w:ascii="宋体" w:hAnsi="宋体" w:eastAsia="宋体"/>
          <w:color w:val="auto"/>
          <w:sz w:val="21"/>
          <w:szCs w:val="21"/>
          <w:highlight w:val="none"/>
          <w:lang w:val="zh-CN" w:eastAsia="zh-CN"/>
        </w:rPr>
        <w:t>年</w:t>
      </w:r>
      <w:r>
        <w:rPr>
          <w:rFonts w:hint="eastAsia" w:ascii="宋体" w:hAnsi="宋体" w:eastAsia="宋体"/>
          <w:color w:val="auto"/>
          <w:sz w:val="21"/>
          <w:szCs w:val="21"/>
          <w:highlight w:val="none"/>
          <w:lang w:val="en-US" w:eastAsia="zh-CN"/>
        </w:rPr>
        <w:t>10</w:t>
      </w:r>
      <w:r>
        <w:rPr>
          <w:rFonts w:hint="eastAsia" w:ascii="宋体" w:hAnsi="宋体" w:eastAsia="宋体"/>
          <w:color w:val="auto"/>
          <w:sz w:val="21"/>
          <w:szCs w:val="21"/>
          <w:highlight w:val="none"/>
          <w:lang w:val="zh-CN" w:eastAsia="zh-CN"/>
        </w:rPr>
        <w:t>月</w:t>
      </w:r>
      <w:r>
        <w:rPr>
          <w:rFonts w:hint="eastAsia" w:ascii="宋体" w:hAnsi="宋体" w:eastAsia="宋体"/>
          <w:color w:val="auto"/>
          <w:sz w:val="21"/>
          <w:szCs w:val="21"/>
          <w:highlight w:val="none"/>
          <w:lang w:val="en-US" w:eastAsia="zh-CN"/>
        </w:rPr>
        <w:t>12</w:t>
      </w:r>
      <w:r>
        <w:rPr>
          <w:rFonts w:hint="eastAsia" w:ascii="宋体" w:hAnsi="宋体" w:eastAsia="宋体"/>
          <w:color w:val="auto"/>
          <w:sz w:val="21"/>
          <w:szCs w:val="21"/>
          <w:highlight w:val="none"/>
          <w:lang w:val="zh-CN" w:eastAsia="zh-CN"/>
        </w:rPr>
        <w:t>日</w:t>
      </w:r>
      <w:bookmarkEnd w:id="14"/>
    </w:p>
    <w:p>
      <w:pPr>
        <w:widowControl/>
        <w:spacing w:line="312" w:lineRule="auto"/>
        <w:jc w:val="center"/>
        <w:outlineLvl w:val="0"/>
        <w:rPr>
          <w:rFonts w:ascii="宋体" w:hAnsi="宋体" w:eastAsia="宋体"/>
          <w:b/>
          <w:color w:val="auto"/>
          <w:sz w:val="36"/>
          <w:highlight w:val="none"/>
          <w:lang w:eastAsia="zh-CN"/>
        </w:rPr>
      </w:pPr>
      <w:bookmarkStart w:id="17" w:name="_Toc1962"/>
      <w:bookmarkStart w:id="18" w:name="_Toc11177"/>
      <w:r>
        <w:rPr>
          <w:rFonts w:hint="eastAsia" w:ascii="宋体" w:hAnsi="宋体" w:eastAsia="宋体"/>
          <w:b/>
          <w:color w:val="auto"/>
          <w:sz w:val="36"/>
          <w:highlight w:val="none"/>
          <w:lang w:eastAsia="zh-CN"/>
        </w:rPr>
        <w:t>第二部分  磋商项目要求</w:t>
      </w:r>
      <w:bookmarkEnd w:id="17"/>
      <w:bookmarkEnd w:id="18"/>
    </w:p>
    <w:tbl>
      <w:tblPr>
        <w:tblStyle w:val="2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1"/>
        <w:gridCol w:w="2252"/>
        <w:gridCol w:w="61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序号</w:t>
            </w:r>
          </w:p>
        </w:tc>
        <w:tc>
          <w:tcPr>
            <w:tcW w:w="225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条款名称</w:t>
            </w:r>
          </w:p>
        </w:tc>
        <w:tc>
          <w:tcPr>
            <w:tcW w:w="611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10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225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项目名称</w:t>
            </w:r>
          </w:p>
        </w:tc>
        <w:tc>
          <w:tcPr>
            <w:tcW w:w="6111"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宋体" w:hAnsi="宋体" w:eastAsia="宋体"/>
                <w:bCs/>
                <w:color w:val="auto"/>
                <w:sz w:val="21"/>
                <w:szCs w:val="21"/>
                <w:highlight w:val="none"/>
                <w:lang w:eastAsia="zh-CN"/>
              </w:rPr>
            </w:pPr>
            <w:r>
              <w:rPr>
                <w:rFonts w:hint="eastAsia" w:ascii="宋体" w:hAnsi="宋体" w:eastAsia="宋体"/>
                <w:color w:val="auto"/>
                <w:sz w:val="21"/>
                <w:szCs w:val="21"/>
                <w:highlight w:val="none"/>
                <w:lang w:eastAsia="zh-CN"/>
              </w:rPr>
              <w:t>濮阳市化工产业集聚区总体发展规划项目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10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1.1</w:t>
            </w:r>
          </w:p>
        </w:tc>
        <w:tc>
          <w:tcPr>
            <w:tcW w:w="225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标包划分</w:t>
            </w:r>
          </w:p>
        </w:tc>
        <w:tc>
          <w:tcPr>
            <w:tcW w:w="611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本项目共分为一个标包：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33" w:hRule="atLeast"/>
        </w:trPr>
        <w:tc>
          <w:tcPr>
            <w:tcW w:w="110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w:t>
            </w:r>
          </w:p>
        </w:tc>
        <w:tc>
          <w:tcPr>
            <w:tcW w:w="225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资质要求</w:t>
            </w:r>
          </w:p>
        </w:tc>
        <w:tc>
          <w:tcPr>
            <w:tcW w:w="6111" w:type="dxa"/>
            <w:tcBorders>
              <w:top w:val="single" w:color="000000" w:sz="4" w:space="0"/>
              <w:left w:val="single" w:color="000000" w:sz="4" w:space="0"/>
              <w:bottom w:val="single" w:color="000000" w:sz="4" w:space="0"/>
              <w:right w:val="single" w:color="000000" w:sz="4" w:space="0"/>
            </w:tcBorders>
            <w:vAlign w:val="center"/>
          </w:tcPr>
          <w:p>
            <w:pPr>
              <w:pStyle w:val="8"/>
              <w:ind w:left="0" w:leftChars="0"/>
              <w:rPr>
                <w:rFonts w:ascii="宋体" w:hAnsi="宋体" w:eastAsia="宋体"/>
                <w:color w:val="auto"/>
                <w:sz w:val="21"/>
                <w:szCs w:val="21"/>
                <w:highlight w:val="none"/>
                <w:lang w:eastAsia="zh-CN"/>
              </w:rPr>
            </w:pPr>
            <w:r>
              <w:rPr>
                <w:rFonts w:hint="eastAsia" w:ascii="宋体" w:hAnsi="宋体" w:eastAsia="宋体"/>
                <w:b/>
                <w:bCs/>
                <w:color w:val="auto"/>
                <w:sz w:val="21"/>
                <w:szCs w:val="21"/>
                <w:highlight w:val="none"/>
                <w:lang w:eastAsia="zh-CN"/>
              </w:rPr>
              <w:t>资格要求：</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1、符合《中华人民共和国政府采购法》规定，国内注册的独立法人、提供营业执照（三证合一的营业执照）</w:t>
            </w:r>
            <w:r>
              <w:rPr>
                <w:rFonts w:ascii="宋体" w:hAnsi="宋体" w:eastAsia="宋体"/>
                <w:color w:val="auto"/>
                <w:sz w:val="21"/>
                <w:szCs w:val="21"/>
                <w:highlight w:val="none"/>
                <w:lang w:eastAsia="zh-CN"/>
              </w:rPr>
              <w:t>,</w:t>
            </w:r>
            <w:r>
              <w:rPr>
                <w:rFonts w:hint="eastAsia" w:ascii="宋体" w:hAnsi="宋体" w:eastAsia="宋体"/>
                <w:color w:val="auto"/>
                <w:sz w:val="21"/>
                <w:szCs w:val="21"/>
                <w:highlight w:val="none"/>
                <w:lang w:eastAsia="zh-CN"/>
              </w:rPr>
              <w:t>且需具有城乡规划甲级资质或化工专业的工程咨询资质或资信证书；</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2、投标人提供2020年1月至今任意六个月缴纳税收和社会保障资金的证明；</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3、投标人提供2019年度的财务审计报告；若公司成立时间不足的，按实际成立年限提供财务报表；</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4、参加政府采购活动前三年或注册公司以来在经营活动中无重大违法记录的书面声明；</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5、</w:t>
            </w:r>
            <w:r>
              <w:rPr>
                <w:rFonts w:ascii="宋体" w:hAnsi="宋体" w:eastAsia="宋体"/>
                <w:color w:val="auto"/>
                <w:sz w:val="21"/>
                <w:szCs w:val="21"/>
                <w:highlight w:val="none"/>
                <w:lang w:eastAsia="zh-CN"/>
              </w:rPr>
              <w:t>拟派项目负责人须具有高级工程师及以上技术职称并具备</w:t>
            </w:r>
            <w:r>
              <w:rPr>
                <w:rFonts w:hint="eastAsia" w:ascii="宋体" w:hAnsi="宋体" w:eastAsia="宋体"/>
                <w:color w:val="auto"/>
                <w:sz w:val="21"/>
                <w:szCs w:val="21"/>
                <w:highlight w:val="none"/>
                <w:lang w:eastAsia="zh-CN"/>
              </w:rPr>
              <w:t>国家注册城乡（市）规划师资格或</w:t>
            </w:r>
            <w:r>
              <w:rPr>
                <w:rFonts w:ascii="宋体" w:hAnsi="宋体" w:eastAsia="宋体"/>
                <w:color w:val="auto"/>
                <w:sz w:val="21"/>
                <w:szCs w:val="21"/>
                <w:highlight w:val="none"/>
                <w:lang w:eastAsia="zh-CN"/>
              </w:rPr>
              <w:t>国家注册咨询师资格；项目负责人须为本公司员工，提供近6个月的社保缴纳证明</w:t>
            </w:r>
            <w:r>
              <w:rPr>
                <w:rFonts w:hint="eastAsia" w:ascii="宋体" w:hAnsi="宋体" w:eastAsia="宋体"/>
                <w:color w:val="auto"/>
                <w:sz w:val="21"/>
                <w:szCs w:val="21"/>
                <w:highlight w:val="none"/>
                <w:lang w:eastAsia="zh-CN"/>
              </w:rPr>
              <w:t>。</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6、根据《关于在政府采购活动中查询及使用信用记录有关问题的通知》（财库[2016]125号）的规定，对列入失信被执行人、重大税收违法案件当事人名单、政府采购严重违法失信行为记录名单的企业，拒绝参与本项目招标投标活动查询渠道：“信用中国”网站（www.creditchina.gov.cn）和中国政府采购网（www.ccgp.gov.cn）政府采购严重违法失信行为记录名单（提供公告期内查询截图）；</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7、本次项目不接受联合体投标。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1" w:type="dxa"/>
            <w:tcBorders>
              <w:top w:val="single" w:color="000000" w:sz="4" w:space="0"/>
              <w:left w:val="single" w:color="000000" w:sz="4" w:space="0"/>
              <w:bottom w:val="single" w:color="000000" w:sz="4" w:space="0"/>
              <w:right w:val="single" w:color="000000" w:sz="4" w:space="0"/>
            </w:tcBorders>
            <w:vAlign w:val="center"/>
          </w:tcPr>
          <w:p>
            <w:pPr>
              <w:tabs>
                <w:tab w:val="left" w:pos="277"/>
              </w:tabs>
              <w:spacing w:line="440" w:lineRule="exact"/>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w:t>
            </w:r>
          </w:p>
        </w:tc>
        <w:tc>
          <w:tcPr>
            <w:tcW w:w="225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服务期</w:t>
            </w:r>
          </w:p>
        </w:tc>
        <w:tc>
          <w:tcPr>
            <w:tcW w:w="6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60日历天</w:t>
            </w:r>
            <w:r>
              <w:rPr>
                <w:rFonts w:hint="eastAsia" w:ascii="宋体" w:hAnsi="宋体" w:eastAsia="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10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4</w:t>
            </w:r>
          </w:p>
        </w:tc>
        <w:tc>
          <w:tcPr>
            <w:tcW w:w="225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资质证件</w:t>
            </w:r>
          </w:p>
        </w:tc>
        <w:tc>
          <w:tcPr>
            <w:tcW w:w="6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开标时须提供以下资质证件电子档：营业执照、法人授权书、授权代表身份证、标书内要求其他证明。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110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5</w:t>
            </w:r>
          </w:p>
        </w:tc>
        <w:tc>
          <w:tcPr>
            <w:tcW w:w="225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供应商要求</w:t>
            </w:r>
          </w:p>
        </w:tc>
        <w:tc>
          <w:tcPr>
            <w:tcW w:w="611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本次交易项目实行全流程电子化，投标人（供应商）不需到现场参加开标活动。实行网上开标、远程解密。各投标人（供应商）需要自备计算机且保证网络畅通，能够登录濮阳市公共资源交易平台http://111.6.121.10:8088/（注：使用IE浏览器）。插入CA数字证书打开投标人界面，参加网上开标。各投标人（供应商）需通过网络密切关注项目交易全过程，所有交易环节材料均依据电子文件为准。</w:t>
            </w:r>
            <w:r>
              <w:rPr>
                <w:rFonts w:hint="eastAsia" w:ascii="宋体" w:hAnsi="宋体" w:eastAsia="宋体"/>
                <w:color w:val="auto"/>
                <w:sz w:val="21"/>
                <w:szCs w:val="21"/>
                <w:highlight w:val="none"/>
                <w:lang w:eastAsia="zh-CN"/>
              </w:rPr>
              <w:br w:type="textWrapping"/>
            </w:r>
            <w:r>
              <w:rPr>
                <w:rFonts w:hint="eastAsia" w:ascii="宋体" w:hAnsi="宋体" w:eastAsia="宋体"/>
                <w:color w:val="auto"/>
                <w:sz w:val="21"/>
                <w:szCs w:val="21"/>
                <w:highlight w:val="none"/>
                <w:lang w:eastAsia="zh-CN"/>
              </w:rPr>
              <w:t xml:space="preserve">    远程解密及提交二次报价时间：远程解密（解密时间自开标时间始30分钟结束）、提交二次报价（自下达二次报价命令始30分钟结束），由于投标人（供应商）错过解密、报价时间或其他自身原因导致远程解密不成功或者二次报价不成功，责任均由投标人（供应商）自行承担。给各潜在投标人（供应商）带来不便，请谅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110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6</w:t>
            </w:r>
          </w:p>
        </w:tc>
        <w:tc>
          <w:tcPr>
            <w:tcW w:w="225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政府采购政策</w:t>
            </w:r>
          </w:p>
        </w:tc>
        <w:tc>
          <w:tcPr>
            <w:tcW w:w="6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 供应商提供产品如为“节能产品政府采购品目清单”内的产品（政府强制采购的节能产品除外），报价给予0.01%的扣除，用扣除后的价格参与磋商。供应商须在响应文件中附该产品在节能品目清单中所在页的复印件，及国家确定的认证机构出具的、处于有效期之内的《国家节能产品认证证书》复印件，否则磋商小组有权不予认可。清单可在中华人民共和国财政部网站（http://www.mof.gov.cn）、中国政府采购网（http://www.ccgp.gov.cn/）查阅。</w:t>
            </w:r>
          </w:p>
          <w:p>
            <w:pPr>
              <w:spacing w:line="300" w:lineRule="exact"/>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 供应商提供产品如为“环境标志产品政府采购品目清单”内的产品，报价给予0.01%的扣除，用扣除后的价格参与磋商。供应商须在响应文件中附该产品在环境标志产品政府采购品目清单所在页的复印件，及国家确定的认证机构出具的、处于有效期之内的《中国环境标志产品认证证书》复印件，否则评委委员会有权不予认可。清单可在中华人民共和国财政部网站（http://www.mof.gov.cn）、中国政府采购网（http://www.ccgp.gov.cn/）查阅。</w:t>
            </w:r>
          </w:p>
          <w:p>
            <w:pPr>
              <w:spacing w:line="300" w:lineRule="exact"/>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3.关于无线局域网产品，必须执行国家财政部、发改委、信息产业部等部门的规定，供应商必须提供所投货物的《无限局域网认证产品政府采购清单》等证明材料文件复印件。</w:t>
            </w:r>
          </w:p>
          <w:p>
            <w:pPr>
              <w:spacing w:line="300" w:lineRule="exact"/>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4.关于计算机办公设备，必须执行国家版权局、信息产业部、财政部等部门规定，供应商所投货物必须是国家信息部、版权局、商务部等部门认可的预装正版操作系统软件的计算机产品。</w:t>
            </w:r>
          </w:p>
          <w:p>
            <w:pPr>
              <w:spacing w:line="300" w:lineRule="exact"/>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5.采购货物为国家强制性认证产品的，必须符合强制性标准。</w:t>
            </w:r>
          </w:p>
          <w:p>
            <w:pPr>
              <w:spacing w:line="300" w:lineRule="exact"/>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6.优先采购本国产品。采购进口产品应符合《中华人民共和国政府采购法》并依法办理论证、公示、审批手续。</w:t>
            </w:r>
          </w:p>
          <w:p>
            <w:pPr>
              <w:spacing w:line="300" w:lineRule="exact"/>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7.采购信息安全产品的，应当采购经国家认证的信息安全产品，供应商应提供由中国信息安全认证中心按国家标准颁发的有效认证证书。</w:t>
            </w:r>
          </w:p>
          <w:p>
            <w:pPr>
              <w:spacing w:line="300" w:lineRule="exact"/>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8.鼓励创新，首购和订购的产品具有首创和自主研发性质，属于自主创新产品的，必须执行《自主创新产品政府收购和订购管理办法》。</w:t>
            </w:r>
          </w:p>
          <w:p>
            <w:pPr>
              <w:spacing w:line="300" w:lineRule="exact"/>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9.促进中小型企业发展，必须执行财政部、工信部印发的《政府采购促进中小型企业发展暂行办法》，对小型和微型企业产品的价格给予6%的扣除（监狱企业/残疾人福利性企业视同小型、微型企业），用扣除后的价格参与评审。参加政府采购活动的中小企业应当提供《中小企业声明函》，未填写中小企业声明函的在磋商过程中不予认可，参加政府采购活动的残疾人福利性单位应当提供《残疾人福利性单位声明函》，未填写残疾人福利性单位声明函的在磋商过程中不予认可。成交人如为小型和微型企业的，并在响应文件中填写了中小企业声明函，则需要在领取成交通知书时提供由相关政府部门出具的企业划型认定材料；成交人如为残疾人福利性企业的，并在响应文件中填写了残疾人福利性单位声明函，则需要在领取成交通知书时提供由相关政府部门出具的相关证明材料，若不能提供或提供的材料与磋商时做出的声明不符，采购人有权取消该成交人的成交资格，并对因其造成的损失进行追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0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7</w:t>
            </w:r>
          </w:p>
        </w:tc>
        <w:tc>
          <w:tcPr>
            <w:tcW w:w="225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电子投标文件编制要求</w:t>
            </w:r>
          </w:p>
        </w:tc>
        <w:tc>
          <w:tcPr>
            <w:tcW w:w="6111"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jc w:val="left"/>
              <w:rPr>
                <w:rFonts w:ascii="宋体" w:hAnsi="宋体" w:eastAsia="宋体"/>
                <w:color w:val="auto"/>
                <w:sz w:val="21"/>
                <w:szCs w:val="21"/>
                <w:highlight w:val="none"/>
                <w:shd w:val="clear" w:color="auto" w:fill="FFFFFF"/>
                <w:lang w:eastAsia="zh-CN"/>
              </w:rPr>
            </w:pPr>
            <w:r>
              <w:rPr>
                <w:rFonts w:hint="eastAsia" w:ascii="宋体" w:hAnsi="宋体" w:eastAsia="宋体"/>
                <w:color w:val="auto"/>
                <w:sz w:val="21"/>
                <w:szCs w:val="21"/>
                <w:highlight w:val="none"/>
                <w:shd w:val="clear" w:color="auto" w:fill="FFFFFF"/>
                <w:lang w:eastAsia="zh-CN"/>
              </w:rPr>
              <w:t>1.供应商凭企业机构数字证书登录《濮阳市公共资源交易平台》(http://111.6.121.10:8088/)点击【我要投标】，获取电子招标文件及其它资料。</w:t>
            </w:r>
          </w:p>
          <w:p>
            <w:pPr>
              <w:autoSpaceDN w:val="0"/>
              <w:spacing w:line="320" w:lineRule="exact"/>
              <w:jc w:val="left"/>
              <w:rPr>
                <w:rFonts w:ascii="宋体" w:hAnsi="宋体" w:eastAsia="宋体"/>
                <w:color w:val="auto"/>
                <w:sz w:val="21"/>
                <w:szCs w:val="21"/>
                <w:highlight w:val="none"/>
                <w:shd w:val="clear" w:color="auto" w:fill="FFFFFF"/>
                <w:lang w:eastAsia="zh-CN"/>
              </w:rPr>
            </w:pPr>
            <w:r>
              <w:rPr>
                <w:rFonts w:hint="eastAsia" w:ascii="宋体" w:hAnsi="宋体" w:eastAsia="宋体"/>
                <w:color w:val="auto"/>
                <w:sz w:val="21"/>
                <w:szCs w:val="21"/>
                <w:highlight w:val="none"/>
                <w:shd w:val="clear" w:color="auto" w:fill="FFFFFF"/>
                <w:lang w:eastAsia="zh-CN"/>
              </w:rPr>
              <w:t>2.根据《濮阳市政府采购招标、投标文件编制系统操作说明》要求使用《濮阳市政府采购投标文件编制系统》编制电子投标文件。（注：登录《濮阳市公共资源交易平台》(http://111.6.121.10:8088/)点击下载专区）</w:t>
            </w:r>
          </w:p>
          <w:p>
            <w:pPr>
              <w:autoSpaceDN w:val="0"/>
              <w:spacing w:line="320" w:lineRule="exact"/>
              <w:jc w:val="left"/>
              <w:rPr>
                <w:rFonts w:ascii="宋体" w:hAnsi="宋体" w:eastAsia="宋体"/>
                <w:color w:val="auto"/>
                <w:sz w:val="21"/>
                <w:szCs w:val="21"/>
                <w:highlight w:val="none"/>
                <w:shd w:val="clear" w:color="auto" w:fill="FFFFFF"/>
                <w:lang w:eastAsia="zh-CN"/>
              </w:rPr>
            </w:pPr>
            <w:r>
              <w:rPr>
                <w:rFonts w:hint="eastAsia" w:ascii="宋体" w:hAnsi="宋体" w:eastAsia="宋体"/>
                <w:color w:val="auto"/>
                <w:sz w:val="21"/>
                <w:szCs w:val="21"/>
                <w:highlight w:val="none"/>
                <w:shd w:val="clear" w:color="auto" w:fill="FFFFFF"/>
                <w:lang w:eastAsia="zh-CN"/>
              </w:rPr>
              <w:t>3.未按以上要求制作电子投标文件，导致投标文件无法正常打开的，按废标处理。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11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olor w:val="auto"/>
                <w:sz w:val="18"/>
                <w:szCs w:val="18"/>
                <w:highlight w:val="none"/>
                <w:lang w:eastAsia="zh-CN"/>
              </w:rPr>
            </w:pPr>
            <w:r>
              <w:rPr>
                <w:rFonts w:hint="eastAsia" w:ascii="宋体" w:hAnsi="宋体" w:eastAsia="宋体"/>
                <w:color w:val="auto"/>
                <w:sz w:val="18"/>
                <w:szCs w:val="18"/>
                <w:highlight w:val="none"/>
                <w:lang w:eastAsia="zh-CN"/>
              </w:rPr>
              <w:t>8</w:t>
            </w:r>
          </w:p>
        </w:tc>
        <w:tc>
          <w:tcPr>
            <w:tcW w:w="225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olor w:val="auto"/>
                <w:sz w:val="18"/>
                <w:szCs w:val="18"/>
                <w:highlight w:val="none"/>
                <w:lang w:eastAsia="zh-CN"/>
              </w:rPr>
            </w:pPr>
            <w:r>
              <w:rPr>
                <w:rFonts w:hint="eastAsia" w:ascii="宋体" w:hAnsi="宋体" w:eastAsia="宋体"/>
                <w:color w:val="auto"/>
                <w:sz w:val="18"/>
                <w:szCs w:val="18"/>
                <w:highlight w:val="none"/>
                <w:lang w:eastAsia="zh-CN"/>
              </w:rPr>
              <w:t>电子投标文件递交方式</w:t>
            </w:r>
          </w:p>
        </w:tc>
        <w:tc>
          <w:tcPr>
            <w:tcW w:w="6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olor w:val="auto"/>
                <w:sz w:val="18"/>
                <w:szCs w:val="18"/>
                <w:highlight w:val="none"/>
                <w:lang w:eastAsia="zh-CN"/>
              </w:rPr>
            </w:pPr>
            <w:r>
              <w:rPr>
                <w:rFonts w:hint="eastAsia" w:ascii="宋体" w:hAnsi="宋体" w:eastAsia="宋体"/>
                <w:color w:val="auto"/>
                <w:sz w:val="18"/>
                <w:szCs w:val="18"/>
                <w:highlight w:val="none"/>
                <w:lang w:eastAsia="zh-CN"/>
              </w:rPr>
              <w:t>1.供应商凭企业机构数字证书登陆《濮阳市公共资源交易平台》(http://111.6.121.10:8088/)点击投标用户入口【投标用户入口】“政府采购”进行登陆，然后选择所投项目，上传签章并加密后的电子投标文件，并打印回执单确认。</w:t>
            </w:r>
          </w:p>
          <w:p>
            <w:pPr>
              <w:spacing w:line="300" w:lineRule="exact"/>
              <w:jc w:val="left"/>
              <w:rPr>
                <w:rFonts w:ascii="宋体" w:hAnsi="宋体" w:eastAsia="宋体"/>
                <w:color w:val="auto"/>
                <w:sz w:val="18"/>
                <w:szCs w:val="18"/>
                <w:highlight w:val="none"/>
                <w:lang w:eastAsia="zh-CN"/>
              </w:rPr>
            </w:pPr>
            <w:r>
              <w:rPr>
                <w:rFonts w:hint="eastAsia" w:ascii="宋体" w:hAnsi="宋体" w:eastAsia="宋体"/>
                <w:color w:val="auto"/>
                <w:sz w:val="18"/>
                <w:szCs w:val="18"/>
                <w:highlight w:val="none"/>
                <w:lang w:eastAsia="zh-CN"/>
              </w:rPr>
              <w:t>2.投标人必须在投标截止时间前完成电子投标文件的上传，投标截止时间前未完成电子投标文件上传的，视为投标无效。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6" w:hRule="atLeast"/>
        </w:trPr>
        <w:tc>
          <w:tcPr>
            <w:tcW w:w="11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olor w:val="auto"/>
                <w:sz w:val="18"/>
                <w:szCs w:val="18"/>
                <w:highlight w:val="none"/>
                <w:lang w:eastAsia="zh-CN"/>
              </w:rPr>
            </w:pPr>
            <w:r>
              <w:rPr>
                <w:rFonts w:hint="eastAsia" w:ascii="宋体" w:hAnsi="宋体" w:eastAsia="宋体"/>
                <w:color w:val="auto"/>
                <w:sz w:val="18"/>
                <w:szCs w:val="18"/>
                <w:highlight w:val="none"/>
                <w:lang w:eastAsia="zh-CN"/>
              </w:rPr>
              <w:t>9</w:t>
            </w:r>
          </w:p>
        </w:tc>
        <w:tc>
          <w:tcPr>
            <w:tcW w:w="225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olor w:val="auto"/>
                <w:sz w:val="18"/>
                <w:szCs w:val="18"/>
                <w:highlight w:val="none"/>
                <w:lang w:eastAsia="zh-CN"/>
              </w:rPr>
            </w:pPr>
            <w:r>
              <w:rPr>
                <w:rFonts w:hint="eastAsia" w:ascii="宋体" w:hAnsi="宋体" w:eastAsia="宋体"/>
                <w:color w:val="auto"/>
                <w:sz w:val="18"/>
                <w:szCs w:val="18"/>
                <w:highlight w:val="none"/>
                <w:lang w:eastAsia="zh-CN"/>
              </w:rPr>
              <w:t>电子标书解密方式</w:t>
            </w:r>
          </w:p>
        </w:tc>
        <w:tc>
          <w:tcPr>
            <w:tcW w:w="6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olor w:val="auto"/>
                <w:sz w:val="18"/>
                <w:szCs w:val="18"/>
                <w:highlight w:val="none"/>
                <w:lang w:eastAsia="zh-CN"/>
              </w:rPr>
            </w:pPr>
            <w:r>
              <w:rPr>
                <w:rFonts w:hint="eastAsia" w:ascii="宋体" w:hAnsi="宋体" w:eastAsia="宋体"/>
                <w:color w:val="auto"/>
                <w:sz w:val="18"/>
                <w:szCs w:val="18"/>
                <w:highlight w:val="none"/>
                <w:lang w:eastAsia="zh-CN"/>
              </w:rPr>
              <w:t>解密方式：网上解密</w:t>
            </w:r>
          </w:p>
          <w:p>
            <w:pPr>
              <w:spacing w:line="300" w:lineRule="exact"/>
              <w:jc w:val="left"/>
              <w:rPr>
                <w:rFonts w:ascii="宋体" w:hAnsi="宋体" w:eastAsia="宋体"/>
                <w:color w:val="auto"/>
                <w:sz w:val="18"/>
                <w:szCs w:val="18"/>
                <w:highlight w:val="none"/>
                <w:lang w:eastAsia="zh-CN"/>
              </w:rPr>
            </w:pPr>
            <w:r>
              <w:rPr>
                <w:rFonts w:hint="eastAsia" w:ascii="宋体" w:hAnsi="宋体" w:eastAsia="宋体"/>
                <w:color w:val="auto"/>
                <w:sz w:val="18"/>
                <w:szCs w:val="18"/>
                <w:highlight w:val="none"/>
                <w:lang w:eastAsia="zh-CN"/>
              </w:rPr>
              <w:t>1.网上解密的，投标人凭企业机构数字证书登陆《濮阳市公共资源交易平台》(http://111.6.121.10:8088/)按时解密。</w:t>
            </w:r>
          </w:p>
          <w:p>
            <w:pPr>
              <w:spacing w:line="300" w:lineRule="exact"/>
              <w:jc w:val="left"/>
              <w:rPr>
                <w:rFonts w:ascii="宋体" w:hAnsi="宋体" w:eastAsia="宋体"/>
                <w:color w:val="auto"/>
                <w:sz w:val="18"/>
                <w:szCs w:val="18"/>
                <w:highlight w:val="none"/>
                <w:lang w:eastAsia="zh-CN"/>
              </w:rPr>
            </w:pPr>
            <w:r>
              <w:rPr>
                <w:rFonts w:hint="eastAsia" w:ascii="宋体" w:hAnsi="宋体" w:eastAsia="宋体"/>
                <w:color w:val="auto"/>
                <w:sz w:val="18"/>
                <w:szCs w:val="18"/>
                <w:highlight w:val="none"/>
                <w:lang w:eastAsia="zh-CN"/>
              </w:rPr>
              <w:t>2.如未在规定时间内解密电子投标文件，其投标将被拒绝。</w:t>
            </w:r>
          </w:p>
          <w:p>
            <w:pPr>
              <w:spacing w:line="300" w:lineRule="exact"/>
              <w:jc w:val="left"/>
              <w:rPr>
                <w:rFonts w:ascii="宋体" w:hAnsi="宋体" w:eastAsia="宋体"/>
                <w:color w:val="auto"/>
                <w:sz w:val="18"/>
                <w:szCs w:val="18"/>
                <w:highlight w:val="none"/>
                <w:lang w:eastAsia="zh-CN"/>
              </w:rPr>
            </w:pPr>
            <w:r>
              <w:rPr>
                <w:rFonts w:hint="eastAsia" w:ascii="宋体" w:hAnsi="宋体" w:eastAsia="宋体"/>
                <w:color w:val="auto"/>
                <w:sz w:val="18"/>
                <w:szCs w:val="18"/>
                <w:highlight w:val="none"/>
                <w:lang w:eastAsia="zh-CN"/>
              </w:rPr>
              <w:t>注：为保证投标文件按照招标文件规定时间顺利递交，请供应商事先熟悉网上投标程序。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1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olor w:val="auto"/>
                <w:sz w:val="18"/>
                <w:szCs w:val="18"/>
                <w:highlight w:val="none"/>
                <w:lang w:eastAsia="zh-CN"/>
              </w:rPr>
            </w:pPr>
            <w:r>
              <w:rPr>
                <w:rFonts w:hint="eastAsia" w:ascii="宋体" w:hAnsi="宋体" w:eastAsia="宋体"/>
                <w:color w:val="auto"/>
                <w:sz w:val="18"/>
                <w:szCs w:val="18"/>
                <w:highlight w:val="none"/>
                <w:lang w:eastAsia="zh-CN"/>
              </w:rPr>
              <w:t>10</w:t>
            </w:r>
          </w:p>
        </w:tc>
        <w:tc>
          <w:tcPr>
            <w:tcW w:w="225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olor w:val="auto"/>
                <w:sz w:val="18"/>
                <w:szCs w:val="18"/>
                <w:highlight w:val="none"/>
                <w:lang w:eastAsia="zh-CN"/>
              </w:rPr>
            </w:pPr>
            <w:r>
              <w:rPr>
                <w:rFonts w:hint="eastAsia" w:ascii="宋体" w:hAnsi="宋体" w:eastAsia="宋体"/>
                <w:color w:val="auto"/>
                <w:sz w:val="18"/>
                <w:szCs w:val="18"/>
                <w:highlight w:val="none"/>
                <w:lang w:eastAsia="zh-CN"/>
              </w:rPr>
              <w:t>代理费用收取标准</w:t>
            </w:r>
          </w:p>
        </w:tc>
        <w:tc>
          <w:tcPr>
            <w:tcW w:w="6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olor w:val="auto"/>
                <w:sz w:val="18"/>
                <w:szCs w:val="18"/>
                <w:highlight w:val="none"/>
                <w:lang w:eastAsia="zh-CN"/>
              </w:rPr>
            </w:pPr>
            <w:r>
              <w:rPr>
                <w:rFonts w:hint="eastAsia" w:ascii="宋体" w:hAnsi="宋体" w:eastAsia="宋体"/>
                <w:color w:val="auto"/>
                <w:sz w:val="18"/>
                <w:szCs w:val="18"/>
                <w:highlight w:val="none"/>
                <w:lang w:eastAsia="zh-CN"/>
              </w:rPr>
              <w:t>按中标价的1.5%，由成交方在领取成交通知书时缴纳。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9" w:hRule="atLeast"/>
        </w:trPr>
        <w:tc>
          <w:tcPr>
            <w:tcW w:w="110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olor w:val="auto"/>
                <w:sz w:val="18"/>
                <w:szCs w:val="18"/>
                <w:highlight w:val="none"/>
                <w:lang w:eastAsia="zh-CN"/>
              </w:rPr>
            </w:pPr>
            <w:r>
              <w:rPr>
                <w:rFonts w:hint="eastAsia" w:ascii="宋体" w:hAnsi="宋体" w:eastAsia="宋体"/>
                <w:color w:val="auto"/>
                <w:sz w:val="18"/>
                <w:szCs w:val="18"/>
                <w:highlight w:val="none"/>
                <w:lang w:eastAsia="zh-CN"/>
              </w:rPr>
              <w:t>11</w:t>
            </w:r>
          </w:p>
        </w:tc>
        <w:tc>
          <w:tcPr>
            <w:tcW w:w="225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olor w:val="auto"/>
                <w:sz w:val="18"/>
                <w:szCs w:val="18"/>
                <w:highlight w:val="none"/>
                <w:lang w:eastAsia="zh-CN"/>
              </w:rPr>
            </w:pPr>
            <w:r>
              <w:rPr>
                <w:rFonts w:hint="eastAsia" w:ascii="宋体" w:hAnsi="宋体" w:eastAsia="宋体"/>
                <w:color w:val="auto"/>
                <w:sz w:val="18"/>
                <w:szCs w:val="18"/>
                <w:highlight w:val="none"/>
                <w:lang w:eastAsia="zh-CN"/>
              </w:rPr>
              <w:t>接受质疑函</w:t>
            </w:r>
          </w:p>
        </w:tc>
        <w:tc>
          <w:tcPr>
            <w:tcW w:w="611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宋体" w:hAnsi="宋体" w:eastAsia="宋体"/>
                <w:color w:val="auto"/>
                <w:sz w:val="18"/>
                <w:szCs w:val="18"/>
                <w:highlight w:val="none"/>
                <w:lang w:eastAsia="zh-CN"/>
              </w:rPr>
            </w:pPr>
            <w:r>
              <w:rPr>
                <w:rFonts w:hint="eastAsia" w:ascii="宋体" w:hAnsi="宋体" w:eastAsia="宋体"/>
                <w:color w:val="auto"/>
                <w:sz w:val="18"/>
                <w:szCs w:val="18"/>
                <w:highlight w:val="none"/>
                <w:lang w:eastAsia="zh-CN"/>
              </w:rPr>
              <w:t>投标人认为磋商文件、磋商过程和成交结果使自己的权益受到损害的, 可以在知道或者应知其权益受到损害之日起七个工作日内，按照政府采购质疑和投诉办法（中华人民共和国财政部令94号）以书面形式向采购人或采购代理机构提出质疑（邮寄件、传真件不予受理），逾期不再接收。在法定质疑期内投标人针对同一采购程序环节的质疑应当一次性提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464" w:type="dxa"/>
            <w:gridSpan w:val="3"/>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宋体" w:hAnsi="宋体" w:eastAsia="宋体"/>
                <w:color w:val="auto"/>
                <w:sz w:val="16"/>
                <w:szCs w:val="16"/>
                <w:highlight w:val="none"/>
                <w:lang w:eastAsia="zh-CN"/>
              </w:rPr>
            </w:pPr>
            <w:r>
              <w:rPr>
                <w:rFonts w:hint="eastAsia" w:ascii="宋体" w:hAnsi="宋体" w:eastAsia="宋体"/>
                <w:color w:val="auto"/>
                <w:sz w:val="16"/>
                <w:szCs w:val="16"/>
                <w:highlight w:val="none"/>
                <w:lang w:eastAsia="zh-CN"/>
              </w:rPr>
              <w:t>招标文件中若出现释义不明处，以招标人解释为准。</w:t>
            </w:r>
          </w:p>
        </w:tc>
      </w:tr>
    </w:tbl>
    <w:p>
      <w:pPr>
        <w:spacing w:line="640" w:lineRule="atLeast"/>
        <w:jc w:val="center"/>
        <w:rPr>
          <w:rFonts w:ascii="宋体" w:hAnsi="宋体" w:eastAsia="宋体"/>
          <w:b/>
          <w:bCs/>
          <w:color w:val="auto"/>
          <w:sz w:val="36"/>
          <w:highlight w:val="none"/>
          <w:lang w:eastAsia="zh-CN"/>
        </w:rPr>
        <w:sectPr>
          <w:headerReference r:id="rId8" w:type="default"/>
          <w:footerReference r:id="rId9" w:type="default"/>
          <w:pgSz w:w="11907" w:h="16834"/>
          <w:pgMar w:top="1440" w:right="1080" w:bottom="1440" w:left="1080" w:header="1077" w:footer="1077" w:gutter="0"/>
          <w:cols w:space="708" w:num="1"/>
          <w:docGrid w:type="lines" w:linePitch="319" w:charSpace="0"/>
        </w:sectPr>
      </w:pPr>
    </w:p>
    <w:p>
      <w:pPr>
        <w:spacing w:line="640" w:lineRule="atLeast"/>
        <w:jc w:val="center"/>
        <w:outlineLvl w:val="0"/>
        <w:rPr>
          <w:rFonts w:ascii="宋体" w:hAnsi="宋体" w:eastAsia="宋体"/>
          <w:b/>
          <w:bCs/>
          <w:color w:val="auto"/>
          <w:sz w:val="36"/>
          <w:highlight w:val="none"/>
          <w:lang w:eastAsia="zh-CN"/>
        </w:rPr>
      </w:pPr>
      <w:bookmarkStart w:id="19" w:name="_Toc9310"/>
      <w:bookmarkStart w:id="20" w:name="_Toc28567"/>
      <w:r>
        <w:rPr>
          <w:rFonts w:hint="eastAsia" w:ascii="宋体" w:hAnsi="宋体" w:eastAsia="宋体"/>
          <w:b/>
          <w:bCs/>
          <w:color w:val="auto"/>
          <w:sz w:val="36"/>
          <w:highlight w:val="none"/>
          <w:lang w:eastAsia="zh-CN"/>
        </w:rPr>
        <w:t>第三部分   磋商须知</w:t>
      </w:r>
      <w:bookmarkEnd w:id="19"/>
      <w:bookmarkEnd w:id="20"/>
    </w:p>
    <w:p>
      <w:pPr>
        <w:spacing w:line="360" w:lineRule="auto"/>
        <w:ind w:firstLine="562" w:firstLineChars="200"/>
        <w:jc w:val="center"/>
        <w:outlineLvl w:val="1"/>
        <w:rPr>
          <w:rFonts w:ascii="宋体" w:hAnsi="宋体" w:eastAsia="宋体"/>
          <w:b/>
          <w:color w:val="auto"/>
          <w:sz w:val="28"/>
          <w:highlight w:val="none"/>
          <w:lang w:eastAsia="zh-CN"/>
        </w:rPr>
      </w:pPr>
      <w:bookmarkStart w:id="21" w:name="_Toc27794"/>
      <w:bookmarkStart w:id="22" w:name="_Toc14499"/>
      <w:r>
        <w:rPr>
          <w:rFonts w:hint="eastAsia" w:ascii="宋体" w:hAnsi="宋体" w:eastAsia="宋体"/>
          <w:b/>
          <w:color w:val="auto"/>
          <w:sz w:val="28"/>
          <w:highlight w:val="none"/>
          <w:lang w:eastAsia="zh-CN"/>
        </w:rPr>
        <w:t>一、竞争性磋商文件</w:t>
      </w:r>
      <w:bookmarkEnd w:id="21"/>
      <w:bookmarkEnd w:id="22"/>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竞争性磋商文件用以阐明项目要求、磋商程序、评定成交标准、付款方式和合同条款。竞争性磋商文件由下述部分组成：</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（1）磋商公告</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（2）磋商项目要求</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（3）磋商须知</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（4）项目技术要求</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（5）合同（文本）</w:t>
      </w:r>
    </w:p>
    <w:p>
      <w:pPr>
        <w:spacing w:line="360" w:lineRule="auto"/>
        <w:ind w:firstLine="420" w:firstLineChars="200"/>
        <w:textAlignment w:val="baseline"/>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（6）磋商文件格式</w:t>
      </w:r>
    </w:p>
    <w:p>
      <w:pPr>
        <w:spacing w:line="360" w:lineRule="auto"/>
        <w:ind w:firstLine="562" w:firstLineChars="200"/>
        <w:jc w:val="center"/>
        <w:textAlignment w:val="baseline"/>
        <w:outlineLvl w:val="1"/>
        <w:rPr>
          <w:rFonts w:ascii="宋体" w:hAnsi="宋体" w:eastAsia="宋体"/>
          <w:b/>
          <w:color w:val="auto"/>
          <w:sz w:val="28"/>
          <w:highlight w:val="none"/>
          <w:lang w:eastAsia="zh-CN"/>
        </w:rPr>
      </w:pPr>
      <w:bookmarkStart w:id="23" w:name="_Toc25708"/>
      <w:bookmarkStart w:id="24" w:name="_Toc21687"/>
      <w:r>
        <w:rPr>
          <w:rFonts w:hint="eastAsia" w:ascii="宋体" w:hAnsi="宋体" w:eastAsia="宋体"/>
          <w:b/>
          <w:color w:val="auto"/>
          <w:sz w:val="28"/>
          <w:highlight w:val="none"/>
          <w:lang w:eastAsia="zh-CN"/>
        </w:rPr>
        <w:t>二、供应商磋商文件</w:t>
      </w:r>
      <w:bookmarkEnd w:id="23"/>
      <w:bookmarkEnd w:id="24"/>
    </w:p>
    <w:p>
      <w:pPr>
        <w:spacing w:line="360" w:lineRule="auto"/>
        <w:ind w:firstLine="211" w:firstLineChars="100"/>
        <w:rPr>
          <w:rFonts w:ascii="宋体" w:hAnsi="宋体" w:eastAsia="宋体"/>
          <w:b/>
          <w:color w:val="auto"/>
          <w:sz w:val="21"/>
          <w:szCs w:val="21"/>
          <w:highlight w:val="none"/>
          <w:lang w:eastAsia="zh-CN"/>
        </w:rPr>
      </w:pPr>
      <w:r>
        <w:rPr>
          <w:rFonts w:hint="eastAsia" w:ascii="宋体" w:hAnsi="宋体" w:eastAsia="宋体"/>
          <w:b/>
          <w:bCs/>
          <w:color w:val="auto"/>
          <w:sz w:val="21"/>
          <w:szCs w:val="21"/>
          <w:highlight w:val="none"/>
          <w:lang w:eastAsia="zh-CN"/>
        </w:rPr>
        <w:t>1.电</w:t>
      </w:r>
      <w:r>
        <w:rPr>
          <w:rFonts w:hint="eastAsia" w:ascii="宋体" w:hAnsi="宋体" w:eastAsia="宋体"/>
          <w:b/>
          <w:color w:val="auto"/>
          <w:sz w:val="21"/>
          <w:szCs w:val="21"/>
          <w:highlight w:val="none"/>
          <w:lang w:eastAsia="zh-CN"/>
        </w:rPr>
        <w:t>子投标文件编制</w:t>
      </w:r>
    </w:p>
    <w:p>
      <w:pPr>
        <w:pStyle w:val="53"/>
        <w:spacing w:before="0" w:beforeAutospacing="0" w:afterAutospacing="0" w:line="360" w:lineRule="auto"/>
        <w:ind w:firstLine="422" w:firstLineChars="200"/>
        <w:rPr>
          <w:rFonts w:ascii="宋体" w:hAnsi="宋体" w:eastAsia="宋体"/>
          <w:bCs w:val="0"/>
          <w:color w:val="auto"/>
          <w:sz w:val="21"/>
          <w:szCs w:val="21"/>
          <w:highlight w:val="none"/>
          <w:lang w:eastAsia="zh-CN"/>
        </w:rPr>
      </w:pPr>
      <w:bookmarkStart w:id="25" w:name="_Toc5420"/>
      <w:bookmarkStart w:id="26" w:name="_Toc28100"/>
      <w:r>
        <w:rPr>
          <w:rFonts w:hint="eastAsia" w:ascii="宋体" w:hAnsi="宋体" w:eastAsia="宋体"/>
          <w:bCs w:val="0"/>
          <w:color w:val="auto"/>
          <w:sz w:val="21"/>
          <w:szCs w:val="21"/>
          <w:highlight w:val="none"/>
          <w:lang w:eastAsia="zh-CN"/>
        </w:rPr>
        <w:t>投标人（供应商）须登录《濮阳市公共资源交易平台》(http://111.6.121.10:8088/)点击下载专区，下载《濮阳市政府采购招标、投标文件编制系统操作说明》和《濮阳市政府采购投标文件编制系统》，按照操作说明进行电子投标文件的编制。</w:t>
      </w:r>
      <w:bookmarkEnd w:id="25"/>
      <w:bookmarkEnd w:id="26"/>
    </w:p>
    <w:p>
      <w:pPr>
        <w:spacing w:line="360" w:lineRule="auto"/>
        <w:ind w:firstLine="211" w:firstLineChars="100"/>
        <w:rPr>
          <w:rFonts w:ascii="宋体" w:hAnsi="宋体" w:eastAsia="宋体"/>
          <w:b/>
          <w:color w:val="auto"/>
          <w:sz w:val="21"/>
          <w:szCs w:val="21"/>
          <w:highlight w:val="none"/>
          <w:lang w:eastAsia="zh-CN"/>
        </w:rPr>
      </w:pPr>
      <w:r>
        <w:rPr>
          <w:rFonts w:hint="eastAsia" w:ascii="宋体" w:hAnsi="宋体" w:eastAsia="宋体"/>
          <w:b/>
          <w:bCs/>
          <w:color w:val="auto"/>
          <w:sz w:val="21"/>
          <w:szCs w:val="21"/>
          <w:highlight w:val="none"/>
          <w:lang w:eastAsia="zh-CN"/>
        </w:rPr>
        <w:t>2. 投</w:t>
      </w:r>
      <w:r>
        <w:rPr>
          <w:rFonts w:hint="eastAsia" w:ascii="宋体" w:hAnsi="宋体" w:eastAsia="宋体"/>
          <w:b/>
          <w:color w:val="auto"/>
          <w:sz w:val="21"/>
          <w:szCs w:val="21"/>
          <w:highlight w:val="none"/>
          <w:lang w:eastAsia="zh-CN"/>
        </w:rPr>
        <w:t>标文件的组成</w:t>
      </w:r>
    </w:p>
    <w:p>
      <w:pPr>
        <w:snapToGrid w:val="0"/>
        <w:spacing w:line="360" w:lineRule="auto"/>
        <w:ind w:firstLine="420" w:firstLineChars="200"/>
        <w:rPr>
          <w:rFonts w:ascii="宋体" w:hAnsi="宋体" w:eastAsia="宋体"/>
          <w:b/>
          <w:color w:val="auto"/>
          <w:sz w:val="21"/>
          <w:szCs w:val="21"/>
          <w:highlight w:val="none"/>
          <w:lang w:eastAsia="zh-CN"/>
        </w:rPr>
      </w:pPr>
      <w:r>
        <w:rPr>
          <w:rFonts w:hint="eastAsia" w:ascii="宋体" w:hAnsi="宋体" w:eastAsia="宋体"/>
          <w:color w:val="auto"/>
          <w:sz w:val="21"/>
          <w:szCs w:val="21"/>
          <w:highlight w:val="none"/>
          <w:lang w:eastAsia="zh-CN"/>
        </w:rPr>
        <w:t>投标文件的编制应包含以下内容：</w:t>
      </w:r>
    </w:p>
    <w:p>
      <w:pPr>
        <w:spacing w:line="360" w:lineRule="auto"/>
        <w:ind w:firstLine="420" w:firstLineChars="200"/>
        <w:textAlignment w:val="baseline"/>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2.1、声明书</w:t>
      </w:r>
    </w:p>
    <w:p>
      <w:pPr>
        <w:spacing w:line="360" w:lineRule="auto"/>
        <w:ind w:firstLine="420" w:firstLineChars="200"/>
        <w:textAlignment w:val="baseline"/>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2.2、报价一览表</w:t>
      </w:r>
    </w:p>
    <w:p>
      <w:pPr>
        <w:spacing w:line="360" w:lineRule="auto"/>
        <w:ind w:firstLine="420" w:firstLineChars="200"/>
        <w:textAlignment w:val="baseline"/>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2.3、服务方案</w:t>
      </w:r>
    </w:p>
    <w:p>
      <w:pPr>
        <w:spacing w:line="360" w:lineRule="auto"/>
        <w:ind w:firstLine="420" w:firstLineChars="200"/>
        <w:textAlignment w:val="baseline"/>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2.4、资格声明函</w:t>
      </w:r>
    </w:p>
    <w:p>
      <w:pPr>
        <w:spacing w:line="360" w:lineRule="auto"/>
        <w:ind w:firstLine="420" w:firstLineChars="200"/>
        <w:textAlignment w:val="baseline"/>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2.5、法定代表人身份证明书</w:t>
      </w:r>
    </w:p>
    <w:p>
      <w:pPr>
        <w:spacing w:line="360" w:lineRule="auto"/>
        <w:ind w:firstLine="420" w:firstLineChars="200"/>
        <w:textAlignment w:val="baseline"/>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2.6、法定代表人授权委托书</w:t>
      </w:r>
    </w:p>
    <w:p>
      <w:pPr>
        <w:spacing w:line="360" w:lineRule="auto"/>
        <w:ind w:firstLine="420" w:firstLineChars="200"/>
        <w:textAlignment w:val="baseline"/>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2.7、资质证明文件</w:t>
      </w:r>
    </w:p>
    <w:p>
      <w:pPr>
        <w:spacing w:line="360" w:lineRule="auto"/>
        <w:ind w:firstLine="420" w:firstLineChars="200"/>
        <w:textAlignment w:val="baseline"/>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2.8、反商业贿赂承诺书</w:t>
      </w:r>
    </w:p>
    <w:p>
      <w:pPr>
        <w:spacing w:line="360" w:lineRule="auto"/>
        <w:ind w:firstLine="420" w:firstLineChars="200"/>
        <w:textAlignment w:val="baseline"/>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2.9、中小企业声明函、政府采购政策性规定证明材料等</w:t>
      </w:r>
    </w:p>
    <w:p>
      <w:pPr>
        <w:spacing w:line="360" w:lineRule="auto"/>
        <w:ind w:firstLine="420" w:firstLineChars="200"/>
        <w:textAlignment w:val="baseline"/>
        <w:rPr>
          <w:rFonts w:ascii="宋体" w:hAnsi="宋体" w:eastAsia="宋体"/>
          <w:b/>
          <w:color w:val="auto"/>
          <w:sz w:val="21"/>
          <w:szCs w:val="21"/>
          <w:highlight w:val="none"/>
          <w:lang w:eastAsia="zh-CN"/>
        </w:rPr>
      </w:pPr>
      <w:r>
        <w:rPr>
          <w:rFonts w:hint="eastAsia" w:ascii="宋体" w:hAnsi="宋体" w:eastAsia="宋体"/>
          <w:color w:val="auto"/>
          <w:sz w:val="21"/>
          <w:szCs w:val="21"/>
          <w:highlight w:val="none"/>
          <w:lang w:eastAsia="zh-CN"/>
        </w:rPr>
        <w:t>2.10、竞争性磋商文件要求供应商提交的其它资料</w:t>
      </w:r>
    </w:p>
    <w:p>
      <w:pPr>
        <w:spacing w:line="360" w:lineRule="auto"/>
        <w:ind w:firstLine="420" w:firstLineChars="200"/>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供应商应仔细阅读竞争性磋商文件的所有内容，按本文件的要求提供磋商文件，并保证所提供全部资料的真实性、有效性，以使其对本文件做出实质性响应。</w:t>
      </w:r>
    </w:p>
    <w:p>
      <w:pPr>
        <w:spacing w:line="360" w:lineRule="auto"/>
        <w:ind w:firstLine="422" w:firstLineChars="200"/>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3、投标报价</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报价应为项目最终报价，投标价格应为折扣后的价格、购买和相关服务需缴纳的所有税费及运送所需的一切费用，需方只承担报价，不承担报价以外的任何费用。大写金额与小写金额不一致的，以大写金额为准；总价金额与按单价汇总金额不一致的，以单价金额计算结果为准；单价金额小数点有明显错位的，应以总价为准，并修改单价。</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任何有选择性品牌、选择性报价、低于成本价或者高于市场价（投标人不能合理说明或者不能提供证明材料）的，均被视为无效报价。</w:t>
      </w:r>
    </w:p>
    <w:p>
      <w:pPr>
        <w:spacing w:line="360" w:lineRule="auto"/>
        <w:ind w:firstLine="422" w:firstLineChars="200"/>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4、不收取履约保证金</w:t>
      </w:r>
    </w:p>
    <w:p>
      <w:pPr>
        <w:spacing w:line="360" w:lineRule="auto"/>
        <w:ind w:firstLine="422" w:firstLineChars="200"/>
        <w:rPr>
          <w:rFonts w:ascii="宋体" w:hAnsi="宋体" w:eastAsia="宋体"/>
          <w:color w:val="auto"/>
          <w:sz w:val="21"/>
          <w:szCs w:val="21"/>
          <w:highlight w:val="none"/>
          <w:lang w:eastAsia="zh-CN"/>
        </w:rPr>
      </w:pPr>
      <w:r>
        <w:rPr>
          <w:rFonts w:hint="eastAsia" w:ascii="宋体" w:hAnsi="宋体" w:eastAsia="宋体"/>
          <w:b/>
          <w:bCs/>
          <w:color w:val="auto"/>
          <w:sz w:val="21"/>
          <w:szCs w:val="21"/>
          <w:highlight w:val="none"/>
          <w:lang w:eastAsia="zh-CN"/>
        </w:rPr>
        <w:t>5、</w:t>
      </w:r>
      <w:r>
        <w:rPr>
          <w:rFonts w:hint="eastAsia" w:ascii="宋体" w:hAnsi="宋体" w:eastAsia="宋体"/>
          <w:b/>
          <w:color w:val="auto"/>
          <w:sz w:val="21"/>
          <w:szCs w:val="21"/>
          <w:highlight w:val="none"/>
          <w:shd w:val="clear" w:color="auto" w:fill="FFFFFF"/>
          <w:lang w:eastAsia="zh-CN"/>
        </w:rPr>
        <w:t>投标人发生下列情况之一，将被按照相关规定进行处理并予以公布：</w:t>
      </w:r>
    </w:p>
    <w:p>
      <w:pPr>
        <w:pStyle w:val="6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（1）投标人在项目评审中无书面说明、非正当理由不参加投标的。</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（2）供应商未按规定时间提交磋商文件的。</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（3）供应商恶意串通（标书出现雷同、加盖非本公司公章等）、提供虚假材料、不填写数据或未加盖单位公章造成废标者。</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（4）成交供应商因其自身原因在接到成交通知书未能按规定时间与需方签订合同。</w:t>
      </w:r>
    </w:p>
    <w:p>
      <w:pPr>
        <w:spacing w:line="360" w:lineRule="auto"/>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6.投标文件的签署</w:t>
      </w:r>
    </w:p>
    <w:p>
      <w:pPr>
        <w:spacing w:line="360" w:lineRule="auto"/>
        <w:ind w:left="1" w:firstLine="420" w:firstLineChars="199"/>
        <w:rPr>
          <w:rFonts w:ascii="宋体" w:hAnsi="宋体" w:eastAsia="宋体"/>
          <w:color w:val="auto"/>
          <w:sz w:val="21"/>
          <w:szCs w:val="21"/>
          <w:highlight w:val="none"/>
          <w:lang w:eastAsia="zh-CN"/>
        </w:rPr>
      </w:pPr>
      <w:r>
        <w:rPr>
          <w:rFonts w:hint="eastAsia" w:ascii="宋体" w:hAnsi="宋体" w:eastAsia="宋体"/>
          <w:b/>
          <w:bCs/>
          <w:color w:val="auto"/>
          <w:sz w:val="21"/>
          <w:szCs w:val="21"/>
          <w:highlight w:val="none"/>
          <w:lang w:eastAsia="zh-CN"/>
        </w:rPr>
        <w:t>6.1电子投标文件须按照编制系统操作说明制作完成，并按要求进行电子签章。</w:t>
      </w:r>
    </w:p>
    <w:p>
      <w:pPr>
        <w:spacing w:line="360" w:lineRule="auto"/>
        <w:ind w:firstLine="422" w:firstLineChars="200"/>
        <w:rPr>
          <w:rFonts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注：电子投标文件编制</w:t>
      </w:r>
    </w:p>
    <w:p>
      <w:pPr>
        <w:spacing w:line="360" w:lineRule="auto"/>
        <w:ind w:firstLine="422" w:firstLineChars="200"/>
        <w:rPr>
          <w:rFonts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本次采购活动通过濮阳市公共资源电子化交易平台进行信息发布、招标文件的获取、投标文件的制作以及递交、开标、评标、结果公示实行全程电子化</w:t>
      </w:r>
    </w:p>
    <w:p>
      <w:pPr>
        <w:spacing w:line="360" w:lineRule="auto"/>
        <w:ind w:firstLine="422" w:firstLineChars="200"/>
        <w:rPr>
          <w:rFonts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投标人凭企业机构数字证书登录《濮阳市公共资源交易平台》(http://111.6.121.10:8088/)点击登录【我要投标】，获取电子招标文件及其它资料。</w:t>
      </w:r>
    </w:p>
    <w:p>
      <w:pPr>
        <w:spacing w:line="360" w:lineRule="auto"/>
        <w:ind w:firstLine="422" w:firstLineChars="200"/>
        <w:rPr>
          <w:rFonts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根据《濮阳市政府采购招标、投标文件编制系统操作说明》要求使用《濮阳市政府采购投标文件编制系统》编制电子投标文件。（注：登录《濮阳市公共资源交易平台》(http://111.6.121.10:8088/)点击下载专区）</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6.2投标文件语言。投标文件应用中文书写。投标文件中所附或所引用的原件不是中文的，应附中文译本。各种计量单位及符号应采用国际上统一使用的公制计量单位和符号。</w:t>
      </w:r>
    </w:p>
    <w:p>
      <w:pPr>
        <w:spacing w:line="360" w:lineRule="auto"/>
        <w:ind w:left="1" w:firstLine="417" w:firstLineChars="199"/>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6.3递交的磋商文件因字迹潦草或表达不清所引起的后果由递交磋商文件方负责。</w:t>
      </w:r>
    </w:p>
    <w:p>
      <w:pPr>
        <w:pStyle w:val="53"/>
        <w:spacing w:before="0" w:beforeAutospacing="0" w:afterAutospacing="0"/>
        <w:rPr>
          <w:rFonts w:ascii="宋体" w:hAnsi="宋体" w:eastAsia="宋体"/>
          <w:b w:val="0"/>
          <w:color w:val="auto"/>
          <w:sz w:val="21"/>
          <w:szCs w:val="21"/>
          <w:highlight w:val="none"/>
          <w:lang w:eastAsia="zh-CN"/>
        </w:rPr>
      </w:pPr>
      <w:bookmarkStart w:id="27" w:name="_Toc8693"/>
      <w:bookmarkStart w:id="28" w:name="_Toc23800"/>
      <w:r>
        <w:rPr>
          <w:rFonts w:hint="eastAsia" w:ascii="宋体" w:hAnsi="宋体" w:eastAsia="宋体"/>
          <w:b w:val="0"/>
          <w:bCs w:val="0"/>
          <w:color w:val="auto"/>
          <w:sz w:val="21"/>
          <w:szCs w:val="21"/>
          <w:highlight w:val="none"/>
          <w:lang w:eastAsia="zh-CN"/>
        </w:rPr>
        <w:t>7、</w:t>
      </w:r>
      <w:r>
        <w:rPr>
          <w:rFonts w:hint="eastAsia" w:ascii="宋体" w:hAnsi="宋体" w:eastAsia="宋体"/>
          <w:b w:val="0"/>
          <w:color w:val="auto"/>
          <w:sz w:val="21"/>
          <w:szCs w:val="21"/>
          <w:highlight w:val="none"/>
          <w:lang w:eastAsia="zh-CN"/>
        </w:rPr>
        <w:t>供应商应认真阅读、并充分理解磋商文件的全部内容（包括所有的补充、修改内容、重要事项、格式、条款和技术规范、参数及要求等），供应商没有按照磋商文件要求提交全部资料，或者竞争性磋商响应文件没有对磋商文件在各方面都做出实质性响应是供应商的风险，有可能导致其磋商文件被拒绝，或被认定为无效响应或被确定为响应无效。</w:t>
      </w:r>
      <w:bookmarkEnd w:id="27"/>
      <w:bookmarkEnd w:id="28"/>
    </w:p>
    <w:p>
      <w:pPr>
        <w:spacing w:line="360" w:lineRule="auto"/>
        <w:ind w:left="1" w:firstLine="559" w:firstLineChars="199"/>
        <w:jc w:val="center"/>
        <w:outlineLvl w:val="1"/>
        <w:rPr>
          <w:rFonts w:ascii="宋体" w:hAnsi="宋体" w:eastAsia="宋体"/>
          <w:b/>
          <w:color w:val="auto"/>
          <w:highlight w:val="none"/>
          <w:lang w:eastAsia="zh-CN"/>
        </w:rPr>
      </w:pPr>
      <w:bookmarkStart w:id="29" w:name="_Toc29129"/>
      <w:bookmarkStart w:id="30" w:name="_Toc20128"/>
      <w:r>
        <w:rPr>
          <w:rFonts w:hint="eastAsia" w:ascii="宋体" w:hAnsi="宋体" w:eastAsia="宋体"/>
          <w:b/>
          <w:color w:val="auto"/>
          <w:sz w:val="28"/>
          <w:szCs w:val="28"/>
          <w:highlight w:val="none"/>
          <w:lang w:eastAsia="zh-CN"/>
        </w:rPr>
        <w:t>三、投标文件的递交</w:t>
      </w:r>
      <w:bookmarkEnd w:id="29"/>
      <w:bookmarkEnd w:id="30"/>
    </w:p>
    <w:p>
      <w:pPr>
        <w:spacing w:line="360" w:lineRule="auto"/>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8、投标文件的密封、标记和递交</w:t>
      </w:r>
    </w:p>
    <w:p>
      <w:pPr>
        <w:spacing w:line="360" w:lineRule="auto"/>
        <w:ind w:left="456" w:leftChars="228"/>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电子投标文件递交方式：网上递交。</w:t>
      </w:r>
    </w:p>
    <w:p>
      <w:pPr>
        <w:spacing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投标人凭企业机构数字证书登陆《濮阳市公共资源交易平台》(</w:t>
      </w:r>
      <w:r>
        <w:rPr>
          <w:rFonts w:hint="eastAsia" w:ascii="宋体" w:hAnsi="宋体" w:eastAsia="宋体"/>
          <w:b/>
          <w:color w:val="auto"/>
          <w:sz w:val="21"/>
          <w:szCs w:val="21"/>
          <w:highlight w:val="none"/>
          <w:lang w:eastAsia="zh-CN"/>
        </w:rPr>
        <w:t>http://111.6.121.10:8088</w:t>
      </w:r>
      <w:r>
        <w:rPr>
          <w:rFonts w:hint="eastAsia" w:ascii="宋体" w:hAnsi="宋体" w:eastAsia="宋体"/>
          <w:b/>
          <w:color w:val="auto"/>
          <w:sz w:val="21"/>
          <w:szCs w:val="21"/>
          <w:highlight w:val="none"/>
        </w:rPr>
        <w:t>/)点击投标用户入口【投标用户入口】“政府采购”进行登陆，然后选择所投项目，上传签章并加密后的电子投标文件，并打印回执单确认。</w:t>
      </w:r>
    </w:p>
    <w:p>
      <w:pPr>
        <w:spacing w:line="360" w:lineRule="auto"/>
        <w:ind w:firstLine="422" w:firstLineChars="200"/>
        <w:rPr>
          <w:rFonts w:ascii="宋体" w:hAnsi="宋体" w:eastAsia="宋体"/>
          <w:color w:val="auto"/>
          <w:sz w:val="21"/>
          <w:szCs w:val="21"/>
          <w:highlight w:val="none"/>
          <w:lang w:eastAsia="zh-CN"/>
        </w:rPr>
      </w:pPr>
      <w:r>
        <w:rPr>
          <w:rFonts w:hint="eastAsia" w:ascii="宋体" w:hAnsi="宋体" w:eastAsia="宋体"/>
          <w:b/>
          <w:color w:val="auto"/>
          <w:sz w:val="21"/>
          <w:szCs w:val="21"/>
          <w:highlight w:val="none"/>
          <w:lang w:eastAsia="zh-CN"/>
        </w:rPr>
        <w:t>投标人必须在投标截止时间前完成电子投标文件的上传，投标截止时间前未完成电子投标文件上传的，视为投标无效。</w:t>
      </w:r>
    </w:p>
    <w:p>
      <w:pPr>
        <w:shd w:val="clear" w:color="FFFFFF" w:fill="auto"/>
        <w:autoSpaceDN w:val="0"/>
        <w:spacing w:line="360" w:lineRule="auto"/>
        <w:ind w:firstLine="420" w:firstLineChars="200"/>
        <w:jc w:val="left"/>
        <w:rPr>
          <w:rFonts w:ascii="宋体" w:hAnsi="宋体" w:eastAsia="宋体"/>
          <w:bCs/>
          <w:color w:val="auto"/>
          <w:sz w:val="21"/>
          <w:szCs w:val="21"/>
          <w:highlight w:val="none"/>
          <w:shd w:val="clear" w:color="auto" w:fill="FFFFFF"/>
          <w:lang w:eastAsia="zh-CN"/>
        </w:rPr>
      </w:pPr>
      <w:r>
        <w:rPr>
          <w:rFonts w:hint="eastAsia" w:ascii="宋体" w:hAnsi="宋体" w:eastAsia="宋体"/>
          <w:bCs/>
          <w:color w:val="auto"/>
          <w:sz w:val="21"/>
          <w:szCs w:val="21"/>
          <w:highlight w:val="none"/>
          <w:shd w:val="clear" w:color="auto" w:fill="FFFFFF"/>
          <w:lang w:eastAsia="zh-CN"/>
        </w:rPr>
        <w:t>8.1投标文件的密封和标记</w:t>
      </w:r>
    </w:p>
    <w:p>
      <w:pPr>
        <w:shd w:val="clear" w:color="FFFFFF" w:fill="auto"/>
        <w:autoSpaceDN w:val="0"/>
        <w:spacing w:line="360" w:lineRule="auto"/>
        <w:ind w:firstLine="420" w:firstLineChars="200"/>
        <w:jc w:val="left"/>
        <w:rPr>
          <w:rFonts w:ascii="宋体" w:hAnsi="宋体" w:eastAsia="宋体"/>
          <w:color w:val="auto"/>
          <w:sz w:val="21"/>
          <w:szCs w:val="21"/>
          <w:highlight w:val="none"/>
          <w:shd w:val="clear" w:color="auto" w:fill="FFFFFF"/>
          <w:lang w:eastAsia="zh-CN"/>
        </w:rPr>
      </w:pPr>
      <w:r>
        <w:rPr>
          <w:rFonts w:hint="eastAsia" w:ascii="宋体" w:hAnsi="宋体" w:eastAsia="宋体"/>
          <w:color w:val="auto"/>
          <w:sz w:val="21"/>
          <w:szCs w:val="21"/>
          <w:highlight w:val="none"/>
          <w:shd w:val="clear" w:color="auto" w:fill="FFFFFF"/>
          <w:lang w:eastAsia="zh-CN"/>
        </w:rPr>
        <w:t>投标文件按照电子投标的规则密封和标记。</w:t>
      </w:r>
    </w:p>
    <w:p>
      <w:pPr>
        <w:spacing w:line="360" w:lineRule="auto"/>
        <w:ind w:firstLine="420" w:firstLineChars="200"/>
        <w:jc w:val="left"/>
        <w:rPr>
          <w:rFonts w:ascii="宋体" w:hAnsi="宋体" w:eastAsia="宋体"/>
          <w:bCs/>
          <w:color w:val="auto"/>
          <w:sz w:val="21"/>
          <w:szCs w:val="21"/>
          <w:highlight w:val="none"/>
          <w:lang w:eastAsia="zh-CN"/>
        </w:rPr>
      </w:pPr>
    </w:p>
    <w:p>
      <w:pPr>
        <w:spacing w:line="360" w:lineRule="auto"/>
        <w:ind w:firstLine="562" w:firstLineChars="200"/>
        <w:jc w:val="center"/>
        <w:outlineLvl w:val="1"/>
        <w:rPr>
          <w:rFonts w:ascii="宋体" w:hAnsi="宋体" w:eastAsia="宋体"/>
          <w:b/>
          <w:color w:val="auto"/>
          <w:sz w:val="28"/>
          <w:szCs w:val="28"/>
          <w:highlight w:val="none"/>
          <w:lang w:eastAsia="zh-CN"/>
        </w:rPr>
      </w:pPr>
      <w:bookmarkStart w:id="31" w:name="_Toc22771"/>
      <w:bookmarkStart w:id="32" w:name="_Toc15810"/>
      <w:r>
        <w:rPr>
          <w:rFonts w:hint="eastAsia" w:ascii="宋体" w:hAnsi="宋体" w:eastAsia="宋体"/>
          <w:b/>
          <w:color w:val="auto"/>
          <w:sz w:val="28"/>
          <w:szCs w:val="28"/>
          <w:highlight w:val="none"/>
          <w:lang w:eastAsia="zh-CN"/>
        </w:rPr>
        <w:t>四、磋商程序</w:t>
      </w:r>
      <w:bookmarkEnd w:id="31"/>
      <w:bookmarkEnd w:id="32"/>
    </w:p>
    <w:p>
      <w:pPr>
        <w:spacing w:line="470" w:lineRule="exact"/>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9、磋商</w:t>
      </w:r>
    </w:p>
    <w:p>
      <w:pPr>
        <w:spacing w:line="470" w:lineRule="exact"/>
        <w:rPr>
          <w:rFonts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 xml:space="preserve"> 磋商时间：见公告</w:t>
      </w:r>
    </w:p>
    <w:p>
      <w:pPr>
        <w:spacing w:line="470" w:lineRule="exact"/>
        <w:ind w:firstLine="411" w:firstLineChars="196"/>
        <w:rPr>
          <w:rFonts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磋商地点：见公告</w:t>
      </w:r>
    </w:p>
    <w:p>
      <w:pPr>
        <w:spacing w:line="360" w:lineRule="auto"/>
        <w:ind w:firstLine="420" w:firstLineChars="200"/>
        <w:rPr>
          <w:rFonts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9.1网上解密。</w:t>
      </w:r>
    </w:p>
    <w:p>
      <w:pPr>
        <w:spacing w:line="400" w:lineRule="exact"/>
        <w:ind w:firstLine="420" w:firstLineChars="200"/>
        <w:rPr>
          <w:rFonts w:ascii="宋体" w:hAnsi="宋体" w:eastAsia="宋体"/>
          <w:color w:val="auto"/>
          <w:highlight w:val="none"/>
          <w:lang w:eastAsia="zh-CN"/>
        </w:rPr>
      </w:pPr>
      <w:r>
        <w:rPr>
          <w:rFonts w:hint="eastAsia" w:ascii="宋体" w:hAnsi="宋体" w:eastAsia="宋体"/>
          <w:bCs/>
          <w:color w:val="auto"/>
          <w:sz w:val="21"/>
          <w:szCs w:val="21"/>
          <w:highlight w:val="none"/>
          <w:lang w:eastAsia="zh-CN"/>
        </w:rPr>
        <w:t>9.2本次交易</w:t>
      </w:r>
      <w:r>
        <w:rPr>
          <w:rFonts w:hint="eastAsia" w:ascii="宋体" w:hAnsi="宋体" w:eastAsia="宋体"/>
          <w:color w:val="auto"/>
          <w:sz w:val="21"/>
          <w:szCs w:val="21"/>
          <w:highlight w:val="none"/>
          <w:lang w:eastAsia="zh-CN"/>
        </w:rPr>
        <w:t>项目实行全流程电子化，投标人（供应商）不需到现场参加开标活动。实行网上开标、远程解密。各投标人（供应商）需要自备计算机且保证网络畅通，能够登录濮阳市公共资源交易平台http://111.6.121.10:8088/（注：使用IE浏览器）。插入CA数字证书打开投标人界面，参加网上开标。各投标人（供应商）需通过网络密切关注项目交易全过程，所有交易环节材料均依据电子文件为准。</w:t>
      </w:r>
      <w:r>
        <w:rPr>
          <w:rFonts w:hint="eastAsia" w:ascii="宋体" w:hAnsi="宋体" w:eastAsia="宋体"/>
          <w:color w:val="auto"/>
          <w:sz w:val="21"/>
          <w:szCs w:val="21"/>
          <w:highlight w:val="none"/>
          <w:lang w:eastAsia="zh-CN"/>
        </w:rPr>
        <w:br w:type="textWrapping"/>
      </w:r>
      <w:r>
        <w:rPr>
          <w:rFonts w:hint="eastAsia" w:ascii="宋体" w:hAnsi="宋体" w:eastAsia="宋体"/>
          <w:b/>
          <w:bCs/>
          <w:color w:val="auto"/>
          <w:sz w:val="21"/>
          <w:szCs w:val="21"/>
          <w:highlight w:val="none"/>
          <w:lang w:eastAsia="zh-CN"/>
        </w:rPr>
        <w:t>远程解密及提交二次报价时间：远程解密（解密时间自开标时间始30分钟结束）、提交二次报价（自下达二次报价命令始30分钟结束），由于投标人（供应商）错过解密、报价时间或其他自身原因导致远程解密不成功或者二次报价不成功，责任均由投标人（供应商）自行承担。给各潜在投标人（供应商）带来不便，请谅解。</w:t>
      </w:r>
    </w:p>
    <w:p>
      <w:pPr>
        <w:spacing w:line="360" w:lineRule="auto"/>
        <w:ind w:left="280" w:leftChars="140" w:firstLine="210" w:firstLineChars="100"/>
        <w:jc w:val="left"/>
        <w:rPr>
          <w:rFonts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9.3竞争性磋商可以根据项目情况采取两轮磋商，</w:t>
      </w:r>
      <w:r>
        <w:rPr>
          <w:rFonts w:hint="eastAsia" w:ascii="宋体" w:hAnsi="宋体" w:eastAsia="宋体"/>
          <w:bCs/>
          <w:color w:val="auto"/>
          <w:sz w:val="21"/>
          <w:szCs w:val="21"/>
          <w:highlight w:val="none"/>
          <w:u w:val="single"/>
          <w:lang w:eastAsia="zh-CN"/>
        </w:rPr>
        <w:t xml:space="preserve"> 河南省伟信招标管理咨询有限公司 </w:t>
      </w:r>
      <w:r>
        <w:rPr>
          <w:rFonts w:hint="eastAsia" w:ascii="宋体" w:hAnsi="宋体" w:eastAsia="宋体"/>
          <w:bCs/>
          <w:color w:val="auto"/>
          <w:sz w:val="21"/>
          <w:szCs w:val="21"/>
          <w:highlight w:val="none"/>
          <w:lang w:eastAsia="zh-CN"/>
        </w:rPr>
        <w:t>在磋商公告规定的时间和地点组织磋商，所有参加磋商的供应商按抽签排序，由磋商小组依次进行磋商。</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9.4</w:t>
      </w:r>
      <w:r>
        <w:rPr>
          <w:rFonts w:hint="eastAsia" w:ascii="宋体" w:hAnsi="宋体" w:eastAsia="宋体"/>
          <w:bCs/>
          <w:color w:val="auto"/>
          <w:sz w:val="21"/>
          <w:szCs w:val="21"/>
          <w:highlight w:val="none"/>
          <w:lang w:eastAsia="zh-CN"/>
        </w:rPr>
        <w:t>磋商</w:t>
      </w:r>
      <w:r>
        <w:rPr>
          <w:rFonts w:hint="eastAsia" w:ascii="宋体" w:hAnsi="宋体" w:eastAsia="宋体"/>
          <w:color w:val="auto"/>
          <w:sz w:val="21"/>
          <w:szCs w:val="21"/>
          <w:highlight w:val="none"/>
          <w:lang w:eastAsia="zh-CN"/>
        </w:rPr>
        <w:t>小组逐家研究供应商介绍本公司基本概况、质量保证等内容，并提交响应文件报价，报价不得超出公告公示预算价，超出投标人视为实质性不响应，不得进行下一轮</w:t>
      </w:r>
      <w:r>
        <w:rPr>
          <w:rFonts w:hint="eastAsia" w:ascii="宋体" w:hAnsi="宋体" w:eastAsia="宋体"/>
          <w:bCs/>
          <w:color w:val="auto"/>
          <w:sz w:val="21"/>
          <w:szCs w:val="21"/>
          <w:highlight w:val="none"/>
          <w:lang w:eastAsia="zh-CN"/>
        </w:rPr>
        <w:t>磋商</w:t>
      </w:r>
      <w:r>
        <w:rPr>
          <w:rFonts w:hint="eastAsia" w:ascii="宋体" w:hAnsi="宋体" w:eastAsia="宋体"/>
          <w:color w:val="auto"/>
          <w:sz w:val="21"/>
          <w:szCs w:val="21"/>
          <w:highlight w:val="none"/>
          <w:lang w:eastAsia="zh-CN"/>
        </w:rPr>
        <w:t>。</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9.5</w:t>
      </w:r>
      <w:r>
        <w:rPr>
          <w:rFonts w:hint="eastAsia" w:ascii="宋体" w:hAnsi="宋体" w:eastAsia="宋体"/>
          <w:bCs/>
          <w:color w:val="auto"/>
          <w:sz w:val="21"/>
          <w:szCs w:val="21"/>
          <w:highlight w:val="none"/>
          <w:lang w:eastAsia="zh-CN"/>
        </w:rPr>
        <w:t>磋商</w:t>
      </w:r>
      <w:r>
        <w:rPr>
          <w:rFonts w:hint="eastAsia" w:ascii="宋体" w:hAnsi="宋体" w:eastAsia="宋体"/>
          <w:color w:val="auto"/>
          <w:sz w:val="21"/>
          <w:szCs w:val="21"/>
          <w:highlight w:val="none"/>
          <w:lang w:eastAsia="zh-CN"/>
        </w:rPr>
        <w:t>小组对上一轮</w:t>
      </w:r>
      <w:r>
        <w:rPr>
          <w:rFonts w:hint="eastAsia" w:ascii="宋体" w:hAnsi="宋体" w:eastAsia="宋体"/>
          <w:bCs/>
          <w:color w:val="auto"/>
          <w:sz w:val="21"/>
          <w:szCs w:val="21"/>
          <w:highlight w:val="none"/>
          <w:lang w:eastAsia="zh-CN"/>
        </w:rPr>
        <w:t>磋商</w:t>
      </w:r>
      <w:r>
        <w:rPr>
          <w:rFonts w:hint="eastAsia" w:ascii="宋体" w:hAnsi="宋体" w:eastAsia="宋体"/>
          <w:color w:val="auto"/>
          <w:sz w:val="21"/>
          <w:szCs w:val="21"/>
          <w:highlight w:val="none"/>
          <w:lang w:eastAsia="zh-CN"/>
        </w:rPr>
        <w:t>中所提出的问题与供应商进行下一轮</w:t>
      </w:r>
      <w:r>
        <w:rPr>
          <w:rFonts w:hint="eastAsia" w:ascii="宋体" w:hAnsi="宋体" w:eastAsia="宋体"/>
          <w:bCs/>
          <w:color w:val="auto"/>
          <w:sz w:val="21"/>
          <w:szCs w:val="21"/>
          <w:highlight w:val="none"/>
          <w:lang w:eastAsia="zh-CN"/>
        </w:rPr>
        <w:t>磋商</w:t>
      </w:r>
      <w:r>
        <w:rPr>
          <w:rFonts w:hint="eastAsia" w:ascii="宋体" w:hAnsi="宋体" w:eastAsia="宋体"/>
          <w:color w:val="auto"/>
          <w:sz w:val="21"/>
          <w:szCs w:val="21"/>
          <w:highlight w:val="none"/>
          <w:lang w:eastAsia="zh-CN"/>
        </w:rPr>
        <w:t>，在</w:t>
      </w:r>
      <w:r>
        <w:rPr>
          <w:rFonts w:hint="eastAsia" w:ascii="宋体" w:hAnsi="宋体" w:eastAsia="宋体"/>
          <w:bCs/>
          <w:color w:val="auto"/>
          <w:sz w:val="21"/>
          <w:szCs w:val="21"/>
          <w:highlight w:val="none"/>
          <w:lang w:eastAsia="zh-CN"/>
        </w:rPr>
        <w:t>磋商</w:t>
      </w:r>
      <w:r>
        <w:rPr>
          <w:rFonts w:hint="eastAsia" w:ascii="宋体" w:hAnsi="宋体" w:eastAsia="宋体"/>
          <w:color w:val="auto"/>
          <w:sz w:val="21"/>
          <w:szCs w:val="21"/>
          <w:highlight w:val="none"/>
          <w:lang w:eastAsia="zh-CN"/>
        </w:rPr>
        <w:t>中</w:t>
      </w:r>
      <w:r>
        <w:rPr>
          <w:rFonts w:hint="eastAsia" w:ascii="宋体" w:hAnsi="宋体" w:eastAsia="宋体"/>
          <w:bCs/>
          <w:color w:val="auto"/>
          <w:sz w:val="21"/>
          <w:szCs w:val="21"/>
          <w:highlight w:val="none"/>
          <w:lang w:eastAsia="zh-CN"/>
        </w:rPr>
        <w:t>磋商</w:t>
      </w:r>
      <w:r>
        <w:rPr>
          <w:rFonts w:hint="eastAsia" w:ascii="宋体" w:hAnsi="宋体" w:eastAsia="宋体"/>
          <w:color w:val="auto"/>
          <w:sz w:val="21"/>
          <w:szCs w:val="21"/>
          <w:highlight w:val="none"/>
          <w:lang w:eastAsia="zh-CN"/>
        </w:rPr>
        <w:t>内容均没有实质性改变的，响应文件能够详细列明采购标的技术、服务要求的，</w:t>
      </w:r>
      <w:r>
        <w:rPr>
          <w:rFonts w:hint="eastAsia" w:ascii="宋体" w:hAnsi="宋体" w:eastAsia="宋体"/>
          <w:bCs/>
          <w:color w:val="auto"/>
          <w:sz w:val="21"/>
          <w:szCs w:val="21"/>
          <w:highlight w:val="none"/>
          <w:lang w:eastAsia="zh-CN"/>
        </w:rPr>
        <w:t>磋商</w:t>
      </w:r>
      <w:r>
        <w:rPr>
          <w:rFonts w:hint="eastAsia" w:ascii="宋体" w:hAnsi="宋体" w:eastAsia="宋体"/>
          <w:color w:val="auto"/>
          <w:sz w:val="21"/>
          <w:szCs w:val="21"/>
          <w:highlight w:val="none"/>
          <w:lang w:eastAsia="zh-CN"/>
        </w:rPr>
        <w:t>结束后，</w:t>
      </w:r>
      <w:r>
        <w:rPr>
          <w:rFonts w:hint="eastAsia" w:ascii="宋体" w:hAnsi="宋体" w:eastAsia="宋体"/>
          <w:bCs/>
          <w:color w:val="auto"/>
          <w:sz w:val="21"/>
          <w:szCs w:val="21"/>
          <w:highlight w:val="none"/>
          <w:lang w:eastAsia="zh-CN"/>
        </w:rPr>
        <w:t>磋商</w:t>
      </w:r>
      <w:r>
        <w:rPr>
          <w:rFonts w:hint="eastAsia" w:ascii="宋体" w:hAnsi="宋体" w:eastAsia="宋体"/>
          <w:color w:val="auto"/>
          <w:sz w:val="21"/>
          <w:szCs w:val="21"/>
          <w:highlight w:val="none"/>
          <w:lang w:eastAsia="zh-CN"/>
        </w:rPr>
        <w:t>小组应当要求所有继续参加</w:t>
      </w:r>
      <w:r>
        <w:rPr>
          <w:rFonts w:hint="eastAsia" w:ascii="宋体" w:hAnsi="宋体" w:eastAsia="宋体"/>
          <w:bCs/>
          <w:color w:val="auto"/>
          <w:sz w:val="21"/>
          <w:szCs w:val="21"/>
          <w:highlight w:val="none"/>
          <w:lang w:eastAsia="zh-CN"/>
        </w:rPr>
        <w:t>磋商</w:t>
      </w:r>
      <w:r>
        <w:rPr>
          <w:rFonts w:hint="eastAsia" w:ascii="宋体" w:hAnsi="宋体" w:eastAsia="宋体"/>
          <w:color w:val="auto"/>
          <w:sz w:val="21"/>
          <w:szCs w:val="21"/>
          <w:highlight w:val="none"/>
          <w:lang w:eastAsia="zh-CN"/>
        </w:rPr>
        <w:t>的供应商在规定时间内提交最后报价，最后报价不能超过上一轮报价。提交最后报价的供应商不得少于3家。</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9.6在</w:t>
      </w:r>
      <w:r>
        <w:rPr>
          <w:rFonts w:hint="eastAsia" w:ascii="宋体" w:hAnsi="宋体" w:eastAsia="宋体"/>
          <w:bCs/>
          <w:color w:val="auto"/>
          <w:sz w:val="21"/>
          <w:szCs w:val="21"/>
          <w:highlight w:val="none"/>
          <w:lang w:eastAsia="zh-CN"/>
        </w:rPr>
        <w:t>磋商</w:t>
      </w:r>
      <w:r>
        <w:rPr>
          <w:rFonts w:hint="eastAsia" w:ascii="宋体" w:hAnsi="宋体" w:eastAsia="宋体"/>
          <w:color w:val="auto"/>
          <w:sz w:val="21"/>
          <w:szCs w:val="21"/>
          <w:highlight w:val="none"/>
          <w:lang w:eastAsia="zh-CN"/>
        </w:rPr>
        <w:t>过程中，</w:t>
      </w:r>
      <w:r>
        <w:rPr>
          <w:rFonts w:hint="eastAsia" w:ascii="宋体" w:hAnsi="宋体" w:eastAsia="宋体"/>
          <w:bCs/>
          <w:color w:val="auto"/>
          <w:sz w:val="21"/>
          <w:szCs w:val="21"/>
          <w:highlight w:val="none"/>
          <w:lang w:eastAsia="zh-CN"/>
        </w:rPr>
        <w:t>磋商</w:t>
      </w:r>
      <w:r>
        <w:rPr>
          <w:rFonts w:hint="eastAsia" w:ascii="宋体" w:hAnsi="宋体" w:eastAsia="宋体"/>
          <w:color w:val="auto"/>
          <w:sz w:val="21"/>
          <w:szCs w:val="21"/>
          <w:highlight w:val="none"/>
          <w:lang w:eastAsia="zh-CN"/>
        </w:rPr>
        <w:t>小组可以根据</w:t>
      </w:r>
      <w:r>
        <w:rPr>
          <w:rFonts w:hint="eastAsia" w:ascii="宋体" w:hAnsi="宋体" w:eastAsia="宋体"/>
          <w:bCs/>
          <w:color w:val="auto"/>
          <w:sz w:val="21"/>
          <w:szCs w:val="21"/>
          <w:highlight w:val="none"/>
          <w:lang w:eastAsia="zh-CN"/>
        </w:rPr>
        <w:t>磋商</w:t>
      </w:r>
      <w:r>
        <w:rPr>
          <w:rFonts w:hint="eastAsia" w:ascii="宋体" w:hAnsi="宋体" w:eastAsia="宋体"/>
          <w:color w:val="auto"/>
          <w:sz w:val="21"/>
          <w:szCs w:val="21"/>
          <w:highlight w:val="none"/>
          <w:lang w:eastAsia="zh-CN"/>
        </w:rPr>
        <w:t>文件和</w:t>
      </w:r>
      <w:r>
        <w:rPr>
          <w:rFonts w:hint="eastAsia" w:ascii="宋体" w:hAnsi="宋体" w:eastAsia="宋体"/>
          <w:bCs/>
          <w:color w:val="auto"/>
          <w:sz w:val="21"/>
          <w:szCs w:val="21"/>
          <w:highlight w:val="none"/>
          <w:lang w:eastAsia="zh-CN"/>
        </w:rPr>
        <w:t>磋商</w:t>
      </w:r>
      <w:r>
        <w:rPr>
          <w:rFonts w:hint="eastAsia" w:ascii="宋体" w:hAnsi="宋体" w:eastAsia="宋体"/>
          <w:color w:val="auto"/>
          <w:sz w:val="21"/>
          <w:szCs w:val="21"/>
          <w:highlight w:val="none"/>
          <w:lang w:eastAsia="zh-CN"/>
        </w:rPr>
        <w:t>情况实质性变动采购需求中的技术、服务要求以及合同草案条款，但不得变动磋商文件中的其他内容。实质性变动的内容，须经采购人代表确认。对磋商文件作出的实质性变动是磋商文件的有效组成部分，磋商小组应当及时通知所有参加磋商的供应商。</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9.7供应商应当按照磋商文件的变动情况和磋商小组的要求重新提交响应内容，并由其法定代表人或授权代表签字或者加盖公章。由授权代表签字的，应当附法定代表人授权书。供应商为自然人的，应当由本人签字并附身份证明。</w:t>
      </w:r>
    </w:p>
    <w:p>
      <w:pPr>
        <w:spacing w:line="470" w:lineRule="exact"/>
        <w:ind w:firstLine="3373" w:firstLineChars="1200"/>
        <w:outlineLvl w:val="1"/>
        <w:rPr>
          <w:rFonts w:ascii="宋体" w:hAnsi="宋体" w:eastAsia="宋体"/>
          <w:b/>
          <w:color w:val="auto"/>
          <w:sz w:val="28"/>
          <w:szCs w:val="28"/>
          <w:highlight w:val="none"/>
          <w:lang w:eastAsia="zh-CN"/>
        </w:rPr>
      </w:pPr>
      <w:bookmarkStart w:id="33" w:name="_Toc25955"/>
      <w:bookmarkStart w:id="34" w:name="_Toc11462"/>
      <w:r>
        <w:rPr>
          <w:rFonts w:hint="eastAsia" w:ascii="宋体" w:hAnsi="宋体" w:eastAsia="宋体"/>
          <w:b/>
          <w:color w:val="auto"/>
          <w:sz w:val="28"/>
          <w:szCs w:val="28"/>
          <w:highlight w:val="none"/>
          <w:lang w:eastAsia="zh-CN"/>
        </w:rPr>
        <w:t>五、评标、定标</w:t>
      </w:r>
      <w:bookmarkEnd w:id="33"/>
      <w:bookmarkEnd w:id="34"/>
    </w:p>
    <w:p>
      <w:pPr>
        <w:spacing w:line="360" w:lineRule="auto"/>
        <w:ind w:firstLine="422" w:firstLineChars="200"/>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10、磋商小组</w:t>
      </w:r>
    </w:p>
    <w:p>
      <w:pPr>
        <w:spacing w:line="360" w:lineRule="auto"/>
        <w:ind w:firstLine="630" w:firstLineChars="300"/>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u w:val="single"/>
          <w:lang w:eastAsia="zh-CN"/>
        </w:rPr>
        <w:t>河南省伟信招标管理咨询有限公司</w:t>
      </w:r>
      <w:r>
        <w:rPr>
          <w:rFonts w:hint="eastAsia" w:ascii="宋体" w:hAnsi="宋体" w:eastAsia="宋体"/>
          <w:color w:val="auto"/>
          <w:sz w:val="21"/>
          <w:szCs w:val="21"/>
          <w:highlight w:val="none"/>
          <w:lang w:eastAsia="zh-CN"/>
        </w:rPr>
        <w:t>将根据本次采购项目的特点组建磋商小组，其中专家的人数不少于成员总数的三分之二，磋商小组对磋商文件进行制定、审查、澄清、评估和比较。</w:t>
      </w:r>
    </w:p>
    <w:p>
      <w:pPr>
        <w:spacing w:line="360" w:lineRule="auto"/>
        <w:ind w:firstLine="422" w:firstLineChars="200"/>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11、成交原则</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（1）磋商小组将遵循公开、公平、公正的原则对待每个参加磋商的供应商。</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磋商小组对资格性审查合格的投标人进行评价，满足招标文件磋商公告中（投标人资格要求）的投标人即为合格投标人，磋商小组对合格投标人的投标文件，按照规定的评分标准进行打分，并按得分由高到低顺序依法授权磋商小组直接确定中标投标人，投标报价超过限价的按废标处理。综合评分相等时，以投标报价低的优先。</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12、供应商应自行承担所有与参加磋商有关的全部费用。</w:t>
      </w:r>
    </w:p>
    <w:p>
      <w:pPr>
        <w:spacing w:line="360" w:lineRule="auto"/>
        <w:ind w:firstLine="422" w:firstLineChars="200"/>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13、保密及其他注意事项</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（1）在磋商期间，供应商不得向磋商小组成员询问其它供应商的磋商情况，不得进行旨在影响成交结果的活动。</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（2）为保证成交结果的公正性，磋商期间直至授予供应商合同时，磋商小组成员不得与供应商私下交换意见。在磋商结束后，凡与磋商情况有接触的任何人不得将磋商情况扩散出磋商小组成员之外。</w:t>
      </w:r>
    </w:p>
    <w:p>
      <w:pPr>
        <w:spacing w:line="360" w:lineRule="auto"/>
        <w:ind w:firstLine="420" w:firstLineChars="200"/>
        <w:rPr>
          <w:rFonts w:ascii="宋体" w:hAnsi="宋体" w:eastAsia="宋体"/>
          <w:color w:val="auto"/>
          <w:sz w:val="21"/>
          <w:szCs w:val="21"/>
          <w:highlight w:val="none"/>
          <w:lang w:eastAsia="zh-CN"/>
        </w:rPr>
        <w:sectPr>
          <w:pgSz w:w="11907" w:h="16834"/>
          <w:pgMar w:top="1440" w:right="1080" w:bottom="1440" w:left="1080" w:header="1077" w:footer="1077" w:gutter="0"/>
          <w:cols w:space="708" w:num="1"/>
          <w:docGrid w:type="lines" w:linePitch="319" w:charSpace="0"/>
        </w:sectPr>
      </w:pPr>
      <w:r>
        <w:rPr>
          <w:rFonts w:hint="eastAsia" w:ascii="宋体" w:hAnsi="宋体" w:eastAsia="宋体"/>
          <w:color w:val="auto"/>
          <w:sz w:val="21"/>
          <w:szCs w:val="21"/>
          <w:highlight w:val="none"/>
          <w:lang w:eastAsia="zh-CN"/>
        </w:rPr>
        <w:t>（3）不向未成交方解释未成交原因，不退还磋商文件。</w:t>
      </w:r>
    </w:p>
    <w:p>
      <w:pPr>
        <w:pStyle w:val="53"/>
        <w:jc w:val="center"/>
        <w:outlineLvl w:val="1"/>
        <w:rPr>
          <w:rFonts w:ascii="宋体" w:hAnsi="宋体" w:eastAsia="宋体"/>
          <w:color w:val="auto"/>
          <w:sz w:val="28"/>
          <w:highlight w:val="none"/>
          <w:lang w:eastAsia="zh-CN"/>
        </w:rPr>
      </w:pPr>
      <w:bookmarkStart w:id="35" w:name="_Toc21005"/>
      <w:bookmarkStart w:id="36" w:name="_Toc26331"/>
      <w:r>
        <w:rPr>
          <w:rFonts w:hint="eastAsia" w:ascii="宋体" w:hAnsi="宋体" w:eastAsia="宋体"/>
          <w:color w:val="auto"/>
          <w:sz w:val="28"/>
          <w:highlight w:val="none"/>
          <w:lang w:eastAsia="zh-CN"/>
        </w:rPr>
        <w:t>六、授予合同</w:t>
      </w:r>
      <w:bookmarkEnd w:id="35"/>
      <w:bookmarkEnd w:id="36"/>
    </w:p>
    <w:p>
      <w:pPr>
        <w:spacing w:line="360" w:lineRule="auto"/>
        <w:ind w:firstLine="422" w:firstLineChars="200"/>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14、成交通知</w:t>
      </w:r>
    </w:p>
    <w:p>
      <w:pPr>
        <w:spacing w:line="360" w:lineRule="auto"/>
        <w:ind w:left="140" w:leftChars="70" w:firstLine="315" w:firstLineChars="150"/>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磋商结束后由河南省伟信招标管理咨询有限公司签发成交通知书，“成交通知书”将作为签订合同的依据。</w:t>
      </w:r>
    </w:p>
    <w:p>
      <w:pPr>
        <w:spacing w:line="360" w:lineRule="auto"/>
        <w:ind w:firstLine="422" w:firstLineChars="200"/>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15、签定合同</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根据成交通知书在约定的时间、地点与需方签定合同。</w:t>
      </w:r>
    </w:p>
    <w:p>
      <w:pPr>
        <w:spacing w:line="360" w:lineRule="auto"/>
        <w:ind w:left="560"/>
        <w:rPr>
          <w:rFonts w:ascii="宋体" w:hAnsi="宋体" w:eastAsia="宋体"/>
          <w:color w:val="auto"/>
          <w:sz w:val="24"/>
          <w:szCs w:val="24"/>
          <w:highlight w:val="none"/>
          <w:lang w:eastAsia="zh-CN"/>
        </w:rPr>
      </w:pPr>
      <w:r>
        <w:rPr>
          <w:rFonts w:hint="eastAsia" w:ascii="宋体" w:hAnsi="宋体" w:eastAsia="宋体"/>
          <w:b/>
          <w:color w:val="auto"/>
          <w:sz w:val="21"/>
          <w:szCs w:val="21"/>
          <w:highlight w:val="none"/>
          <w:lang w:eastAsia="zh-CN"/>
        </w:rPr>
        <w:t>16、付款方式：</w:t>
      </w:r>
      <w:r>
        <w:rPr>
          <w:rFonts w:hint="eastAsia" w:ascii="宋体" w:hAnsi="宋体" w:eastAsia="宋体"/>
          <w:color w:val="auto"/>
          <w:sz w:val="24"/>
          <w:szCs w:val="24"/>
          <w:highlight w:val="none"/>
          <w:lang w:eastAsia="zh-CN"/>
        </w:rPr>
        <w:t>合同签订后，付款40%，成果文件制作完成，付款40%，提交最终成果后付款剩余20%。</w:t>
      </w:r>
    </w:p>
    <w:p>
      <w:pPr>
        <w:spacing w:line="360" w:lineRule="auto"/>
        <w:jc w:val="center"/>
        <w:outlineLvl w:val="0"/>
        <w:rPr>
          <w:rFonts w:ascii="宋体" w:hAnsi="宋体" w:eastAsia="宋体"/>
          <w:b/>
          <w:bCs/>
          <w:color w:val="auto"/>
          <w:sz w:val="21"/>
          <w:szCs w:val="21"/>
          <w:highlight w:val="none"/>
          <w:lang w:eastAsia="zh-CN"/>
        </w:rPr>
      </w:pPr>
      <w:bookmarkStart w:id="37" w:name="_Toc11805"/>
      <w:bookmarkStart w:id="38" w:name="_Toc3802"/>
      <w:r>
        <w:rPr>
          <w:rFonts w:hint="eastAsia" w:ascii="宋体" w:hAnsi="宋体" w:eastAsia="宋体"/>
          <w:b/>
          <w:bCs/>
          <w:color w:val="auto"/>
          <w:sz w:val="36"/>
          <w:szCs w:val="36"/>
          <w:highlight w:val="none"/>
          <w:lang w:eastAsia="zh-CN"/>
        </w:rPr>
        <w:t>第四部分 项目技术要求</w:t>
      </w:r>
      <w:bookmarkEnd w:id="37"/>
      <w:bookmarkEnd w:id="38"/>
      <w:bookmarkStart w:id="39" w:name="_Toc10236"/>
      <w:bookmarkStart w:id="40" w:name="_Toc4275"/>
    </w:p>
    <w:p>
      <w:pPr>
        <w:ind w:left="140" w:leftChars="70" w:firstLine="315" w:firstLineChars="150"/>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一、设计依据</w:t>
      </w:r>
    </w:p>
    <w:p>
      <w:pPr>
        <w:ind w:left="140" w:leftChars="70" w:firstLine="315" w:firstLineChars="150"/>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1、国家和河南省、濮阳市、濮阳县现行的有关法律、条例、规范、文件的规定。</w:t>
      </w:r>
    </w:p>
    <w:p>
      <w:pPr>
        <w:ind w:left="140" w:leftChars="70" w:firstLine="315" w:firstLineChars="150"/>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2、濮阳市、濮阳县社会经济资料、相关规划、业主要求。</w:t>
      </w:r>
    </w:p>
    <w:p>
      <w:pPr>
        <w:ind w:left="140" w:leftChars="70" w:firstLine="315" w:firstLineChars="150"/>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二、项目其它要求</w:t>
      </w:r>
    </w:p>
    <w:p>
      <w:pPr>
        <w:ind w:left="140" w:leftChars="70" w:firstLine="315" w:firstLineChars="150"/>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1、中标人所提供的相关成果必须符合有关国家强制性规定、国家（行业）标准或相关法律法规要求。</w:t>
      </w:r>
    </w:p>
    <w:p>
      <w:pPr>
        <w:jc w:val="center"/>
        <w:textAlignment w:val="bottom"/>
        <w:outlineLvl w:val="0"/>
        <w:rPr>
          <w:rFonts w:ascii="宋体" w:hAnsi="宋体" w:eastAsia="宋体"/>
          <w:b/>
          <w:bCs/>
          <w:color w:val="auto"/>
          <w:sz w:val="36"/>
          <w:szCs w:val="36"/>
          <w:highlight w:val="none"/>
          <w:lang w:eastAsia="zh-CN"/>
        </w:rPr>
      </w:pPr>
      <w:r>
        <w:rPr>
          <w:rFonts w:hint="eastAsia" w:ascii="宋体" w:hAnsi="宋体" w:eastAsia="宋体"/>
          <w:b/>
          <w:bCs/>
          <w:color w:val="auto"/>
          <w:sz w:val="21"/>
          <w:szCs w:val="21"/>
          <w:highlight w:val="none"/>
          <w:lang w:eastAsia="zh-CN"/>
        </w:rPr>
        <w:br w:type="page"/>
      </w:r>
      <w:r>
        <w:rPr>
          <w:rFonts w:hint="eastAsia" w:ascii="宋体" w:hAnsi="宋体" w:eastAsia="宋体"/>
          <w:b/>
          <w:bCs/>
          <w:color w:val="auto"/>
          <w:sz w:val="36"/>
          <w:szCs w:val="36"/>
          <w:highlight w:val="none"/>
          <w:lang w:eastAsia="zh-CN"/>
        </w:rPr>
        <w:t>第五部分竞争性磋商评分标准</w:t>
      </w:r>
    </w:p>
    <w:p>
      <w:pPr>
        <w:pStyle w:val="69"/>
        <w:spacing w:line="240" w:lineRule="auto"/>
        <w:jc w:val="center"/>
        <w:rPr>
          <w:rFonts w:ascii="新宋体" w:hAnsi="新宋体" w:eastAsia="新宋体"/>
          <w:b/>
          <w:color w:val="auto"/>
          <w:highlight w:val="none"/>
        </w:rPr>
      </w:pPr>
      <w:bookmarkStart w:id="41" w:name="_Toc4467"/>
      <w:bookmarkStart w:id="42" w:name="_Toc37352780"/>
      <w:bookmarkStart w:id="43" w:name="_Toc17552"/>
      <w:bookmarkStart w:id="44" w:name="_Toc19893"/>
      <w:bookmarkStart w:id="45" w:name="_Toc26986"/>
      <w:bookmarkStart w:id="46" w:name="_Toc30230"/>
      <w:bookmarkStart w:id="47" w:name="_Toc152045599"/>
      <w:bookmarkStart w:id="48" w:name="_Toc2748"/>
      <w:bookmarkStart w:id="49" w:name="_Toc152042376"/>
      <w:bookmarkStart w:id="50" w:name="_Toc144974566"/>
      <w:bookmarkStart w:id="51" w:name="_Toc373826232"/>
      <w:bookmarkStart w:id="52" w:name="_Toc29008"/>
      <w:r>
        <w:rPr>
          <w:rFonts w:hint="eastAsia" w:ascii="新宋体" w:hAnsi="新宋体" w:eastAsia="新宋体"/>
          <w:b/>
          <w:color w:val="auto"/>
          <w:highlight w:val="none"/>
        </w:rPr>
        <w:t>评标办法前附表</w:t>
      </w:r>
      <w:bookmarkEnd w:id="41"/>
      <w:bookmarkEnd w:id="42"/>
      <w:bookmarkEnd w:id="43"/>
      <w:bookmarkEnd w:id="44"/>
      <w:bookmarkEnd w:id="45"/>
      <w:bookmarkEnd w:id="46"/>
      <w:bookmarkEnd w:id="47"/>
      <w:bookmarkEnd w:id="48"/>
      <w:bookmarkEnd w:id="49"/>
      <w:bookmarkEnd w:id="50"/>
      <w:bookmarkEnd w:id="51"/>
      <w:bookmarkEnd w:id="52"/>
    </w:p>
    <w:tbl>
      <w:tblPr>
        <w:tblStyle w:val="28"/>
        <w:tblW w:w="87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9"/>
        <w:gridCol w:w="922"/>
        <w:gridCol w:w="3269"/>
        <w:gridCol w:w="35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901"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b/>
                <w:color w:val="auto"/>
                <w:sz w:val="18"/>
                <w:szCs w:val="18"/>
                <w:highlight w:val="none"/>
              </w:rPr>
            </w:pPr>
            <w:r>
              <w:rPr>
                <w:rFonts w:hint="eastAsia" w:ascii="新宋体" w:hAnsi="新宋体" w:eastAsia="新宋体"/>
                <w:b/>
                <w:color w:val="auto"/>
                <w:sz w:val="18"/>
                <w:szCs w:val="18"/>
                <w:highlight w:val="none"/>
              </w:rPr>
              <w:t>条款号</w:t>
            </w:r>
          </w:p>
        </w:tc>
        <w:tc>
          <w:tcPr>
            <w:tcW w:w="326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b/>
                <w:color w:val="auto"/>
                <w:sz w:val="18"/>
                <w:szCs w:val="18"/>
                <w:highlight w:val="none"/>
              </w:rPr>
            </w:pPr>
            <w:r>
              <w:rPr>
                <w:rFonts w:hint="eastAsia" w:ascii="新宋体" w:hAnsi="新宋体" w:eastAsia="新宋体"/>
                <w:b/>
                <w:color w:val="auto"/>
                <w:sz w:val="18"/>
                <w:szCs w:val="18"/>
                <w:highlight w:val="none"/>
              </w:rPr>
              <w:t>评审因素</w:t>
            </w:r>
          </w:p>
        </w:tc>
        <w:tc>
          <w:tcPr>
            <w:tcW w:w="35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b/>
                <w:color w:val="auto"/>
                <w:sz w:val="18"/>
                <w:szCs w:val="18"/>
                <w:highlight w:val="none"/>
              </w:rPr>
            </w:pPr>
            <w:r>
              <w:rPr>
                <w:rFonts w:hint="eastAsia" w:ascii="新宋体" w:hAnsi="新宋体" w:eastAsia="新宋体"/>
                <w:b/>
                <w:color w:val="auto"/>
                <w:sz w:val="18"/>
                <w:szCs w:val="18"/>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979" w:type="dxa"/>
            <w:vMerge w:val="restart"/>
            <w:tcBorders>
              <w:top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2.1.1</w:t>
            </w:r>
          </w:p>
        </w:tc>
        <w:tc>
          <w:tcPr>
            <w:tcW w:w="922" w:type="dxa"/>
            <w:vMerge w:val="restart"/>
            <w:tcBorders>
              <w:top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资格评审标准</w:t>
            </w:r>
          </w:p>
        </w:tc>
        <w:tc>
          <w:tcPr>
            <w:tcW w:w="326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r>
              <w:rPr>
                <w:rFonts w:hint="eastAsia" w:ascii="新宋体" w:hAnsi="新宋体" w:eastAsia="新宋体"/>
                <w:color w:val="auto"/>
                <w:sz w:val="18"/>
                <w:szCs w:val="18"/>
                <w:highlight w:val="none"/>
              </w:rPr>
              <w:t>营业执照</w:t>
            </w:r>
            <w:r>
              <w:rPr>
                <w:rFonts w:hint="eastAsia" w:ascii="新宋体" w:hAnsi="新宋体" w:eastAsia="新宋体"/>
                <w:color w:val="auto"/>
                <w:sz w:val="18"/>
                <w:szCs w:val="18"/>
                <w:highlight w:val="none"/>
                <w:lang w:eastAsia="zh-CN"/>
              </w:rPr>
              <w:t>及资质证书</w:t>
            </w:r>
          </w:p>
        </w:tc>
        <w:tc>
          <w:tcPr>
            <w:tcW w:w="35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r>
              <w:rPr>
                <w:rFonts w:hint="eastAsia" w:ascii="新宋体" w:hAnsi="新宋体" w:eastAsia="新宋体"/>
                <w:color w:val="auto"/>
                <w:sz w:val="18"/>
                <w:szCs w:val="18"/>
                <w:highlight w:val="none"/>
                <w:lang w:eastAsia="zh-CN"/>
              </w:rPr>
              <w:t>具备有效的营业执照且需具有城乡规划甲级资质或化工专业的工程咨询资质或资信证书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5" w:hRule="atLeast"/>
          <w:jc w:val="center"/>
        </w:trPr>
        <w:tc>
          <w:tcPr>
            <w:tcW w:w="979"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p>
        </w:tc>
        <w:tc>
          <w:tcPr>
            <w:tcW w:w="922"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p>
        </w:tc>
        <w:tc>
          <w:tcPr>
            <w:tcW w:w="326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r>
              <w:rPr>
                <w:rFonts w:hint="eastAsia" w:ascii="新宋体" w:hAnsi="新宋体" w:eastAsia="新宋体"/>
                <w:color w:val="auto"/>
                <w:sz w:val="18"/>
                <w:szCs w:val="18"/>
                <w:highlight w:val="none"/>
                <w:lang w:eastAsia="zh-CN"/>
              </w:rPr>
              <w:t>项目负责人</w:t>
            </w:r>
          </w:p>
        </w:tc>
        <w:tc>
          <w:tcPr>
            <w:tcW w:w="35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r>
              <w:rPr>
                <w:rFonts w:hint="eastAsia" w:ascii="新宋体" w:hAnsi="新宋体" w:eastAsia="新宋体"/>
                <w:color w:val="auto"/>
                <w:sz w:val="18"/>
                <w:szCs w:val="18"/>
                <w:highlight w:val="none"/>
                <w:lang w:eastAsia="zh-CN"/>
              </w:rPr>
              <w:t>符合第二章“谈判须知”规定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6" w:hRule="atLeast"/>
          <w:jc w:val="center"/>
        </w:trPr>
        <w:tc>
          <w:tcPr>
            <w:tcW w:w="979"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p>
        </w:tc>
        <w:tc>
          <w:tcPr>
            <w:tcW w:w="922"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p>
        </w:tc>
        <w:tc>
          <w:tcPr>
            <w:tcW w:w="326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r>
              <w:rPr>
                <w:rFonts w:hint="eastAsia" w:ascii="新宋体" w:hAnsi="新宋体" w:eastAsia="新宋体"/>
                <w:color w:val="auto"/>
                <w:sz w:val="18"/>
                <w:szCs w:val="18"/>
                <w:highlight w:val="none"/>
                <w:lang w:eastAsia="zh-CN"/>
              </w:rPr>
              <w:t>具有良好的商业信誉和健全的财务会计制度</w:t>
            </w:r>
          </w:p>
        </w:tc>
        <w:tc>
          <w:tcPr>
            <w:tcW w:w="35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r>
              <w:rPr>
                <w:rFonts w:hint="eastAsia" w:ascii="新宋体" w:hAnsi="新宋体" w:eastAsia="新宋体"/>
                <w:color w:val="auto"/>
                <w:sz w:val="18"/>
                <w:szCs w:val="18"/>
                <w:highlight w:val="none"/>
                <w:lang w:eastAsia="zh-CN"/>
              </w:rPr>
              <w:t>符合第二章“谈判须知”规定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48" w:hRule="atLeast"/>
          <w:jc w:val="center"/>
        </w:trPr>
        <w:tc>
          <w:tcPr>
            <w:tcW w:w="979"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p>
        </w:tc>
        <w:tc>
          <w:tcPr>
            <w:tcW w:w="922"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p>
        </w:tc>
        <w:tc>
          <w:tcPr>
            <w:tcW w:w="326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r>
              <w:rPr>
                <w:rFonts w:hint="eastAsia" w:ascii="新宋体" w:hAnsi="新宋体" w:eastAsia="新宋体"/>
                <w:color w:val="auto"/>
                <w:sz w:val="18"/>
                <w:szCs w:val="18"/>
                <w:highlight w:val="none"/>
                <w:lang w:eastAsia="zh-CN"/>
              </w:rPr>
              <w:t>参加政府采购活动前三年内，在经营活动中没有重大违法记录</w:t>
            </w:r>
          </w:p>
        </w:tc>
        <w:tc>
          <w:tcPr>
            <w:tcW w:w="35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r>
              <w:rPr>
                <w:rFonts w:hint="eastAsia" w:ascii="新宋体" w:hAnsi="新宋体" w:eastAsia="新宋体"/>
                <w:color w:val="auto"/>
                <w:sz w:val="18"/>
                <w:szCs w:val="18"/>
                <w:highlight w:val="none"/>
                <w:lang w:eastAsia="zh-CN"/>
              </w:rPr>
              <w:t>符合第二章“投标人须知”规定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0" w:hRule="atLeast"/>
          <w:jc w:val="center"/>
        </w:trPr>
        <w:tc>
          <w:tcPr>
            <w:tcW w:w="979"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p>
        </w:tc>
        <w:tc>
          <w:tcPr>
            <w:tcW w:w="922"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p>
        </w:tc>
        <w:tc>
          <w:tcPr>
            <w:tcW w:w="326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信用查询</w:t>
            </w:r>
          </w:p>
        </w:tc>
        <w:tc>
          <w:tcPr>
            <w:tcW w:w="35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r>
              <w:rPr>
                <w:rFonts w:hint="eastAsia" w:ascii="新宋体" w:hAnsi="新宋体" w:eastAsia="新宋体"/>
                <w:color w:val="auto"/>
                <w:sz w:val="18"/>
                <w:szCs w:val="18"/>
                <w:highlight w:val="none"/>
                <w:lang w:eastAsia="zh-CN"/>
              </w:rPr>
              <w:t>符合第二章“投标人须知”规定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979"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p>
        </w:tc>
        <w:tc>
          <w:tcPr>
            <w:tcW w:w="922"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p>
        </w:tc>
        <w:tc>
          <w:tcPr>
            <w:tcW w:w="326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其它</w:t>
            </w:r>
          </w:p>
        </w:tc>
        <w:tc>
          <w:tcPr>
            <w:tcW w:w="35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r>
              <w:rPr>
                <w:rFonts w:hint="eastAsia" w:ascii="新宋体" w:hAnsi="新宋体" w:eastAsia="新宋体"/>
                <w:color w:val="auto"/>
                <w:sz w:val="18"/>
                <w:szCs w:val="18"/>
                <w:highlight w:val="none"/>
                <w:lang w:eastAsia="zh-CN"/>
              </w:rPr>
              <w:t>符合第二章“投标人须知”规定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jc w:val="center"/>
        </w:trPr>
        <w:tc>
          <w:tcPr>
            <w:tcW w:w="979" w:type="dxa"/>
            <w:vMerge w:val="continue"/>
            <w:tcBorders>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p>
        </w:tc>
        <w:tc>
          <w:tcPr>
            <w:tcW w:w="922" w:type="dxa"/>
            <w:vMerge w:val="continue"/>
            <w:tcBorders>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p>
        </w:tc>
        <w:tc>
          <w:tcPr>
            <w:tcW w:w="6827"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b/>
                <w:color w:val="auto"/>
                <w:sz w:val="18"/>
                <w:szCs w:val="18"/>
                <w:highlight w:val="none"/>
                <w:lang w:eastAsia="zh-CN"/>
              </w:rPr>
            </w:pPr>
            <w:r>
              <w:rPr>
                <w:rFonts w:hint="eastAsia" w:ascii="新宋体" w:hAnsi="新宋体" w:eastAsia="新宋体"/>
                <w:b/>
                <w:color w:val="auto"/>
                <w:sz w:val="18"/>
                <w:szCs w:val="18"/>
                <w:highlight w:val="none"/>
                <w:lang w:eastAsia="zh-CN"/>
              </w:rPr>
              <w:t>注：</w:t>
            </w:r>
            <w:r>
              <w:rPr>
                <w:rFonts w:hint="eastAsia"/>
                <w:b/>
                <w:bCs/>
                <w:color w:val="auto"/>
                <w:sz w:val="18"/>
                <w:szCs w:val="18"/>
                <w:highlight w:val="none"/>
                <w:lang w:eastAsia="zh-CN"/>
              </w:rPr>
              <w:t>所有证件以电子投标文件中扫描件为准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979" w:type="dxa"/>
            <w:vMerge w:val="restart"/>
            <w:tcBorders>
              <w:top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2.1.2</w:t>
            </w:r>
          </w:p>
        </w:tc>
        <w:tc>
          <w:tcPr>
            <w:tcW w:w="922" w:type="dxa"/>
            <w:vMerge w:val="restart"/>
            <w:tcBorders>
              <w:top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符合性评审标准</w:t>
            </w:r>
          </w:p>
        </w:tc>
        <w:tc>
          <w:tcPr>
            <w:tcW w:w="326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投标人名称</w:t>
            </w:r>
          </w:p>
        </w:tc>
        <w:tc>
          <w:tcPr>
            <w:tcW w:w="35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979"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rPr>
            </w:pPr>
          </w:p>
        </w:tc>
        <w:tc>
          <w:tcPr>
            <w:tcW w:w="922"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rPr>
            </w:pPr>
          </w:p>
        </w:tc>
        <w:tc>
          <w:tcPr>
            <w:tcW w:w="326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磋商签字盖章</w:t>
            </w:r>
          </w:p>
        </w:tc>
        <w:tc>
          <w:tcPr>
            <w:tcW w:w="35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r>
              <w:rPr>
                <w:rFonts w:hint="eastAsia" w:ascii="新宋体" w:hAnsi="新宋体" w:eastAsia="新宋体"/>
                <w:color w:val="auto"/>
                <w:sz w:val="18"/>
                <w:szCs w:val="18"/>
                <w:highlight w:val="none"/>
                <w:lang w:eastAsia="zh-CN"/>
              </w:rPr>
              <w:t>符合第六章“响应文件格式”的要求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979"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p>
        </w:tc>
        <w:tc>
          <w:tcPr>
            <w:tcW w:w="922"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p>
        </w:tc>
        <w:tc>
          <w:tcPr>
            <w:tcW w:w="326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响应文件格式</w:t>
            </w:r>
          </w:p>
        </w:tc>
        <w:tc>
          <w:tcPr>
            <w:tcW w:w="35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r>
              <w:rPr>
                <w:rFonts w:hint="eastAsia" w:ascii="新宋体" w:hAnsi="新宋体" w:eastAsia="新宋体"/>
                <w:color w:val="auto"/>
                <w:sz w:val="18"/>
                <w:szCs w:val="18"/>
                <w:highlight w:val="none"/>
                <w:lang w:eastAsia="zh-CN"/>
              </w:rPr>
              <w:t>符合第六章“响应文件格式”的要求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979"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p>
        </w:tc>
        <w:tc>
          <w:tcPr>
            <w:tcW w:w="922"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p>
        </w:tc>
        <w:tc>
          <w:tcPr>
            <w:tcW w:w="326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报价唯一</w:t>
            </w:r>
          </w:p>
        </w:tc>
        <w:tc>
          <w:tcPr>
            <w:tcW w:w="35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1" w:hRule="atLeast"/>
          <w:jc w:val="center"/>
        </w:trPr>
        <w:tc>
          <w:tcPr>
            <w:tcW w:w="979"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rPr>
            </w:pPr>
          </w:p>
        </w:tc>
        <w:tc>
          <w:tcPr>
            <w:tcW w:w="922"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rPr>
            </w:pPr>
          </w:p>
        </w:tc>
        <w:tc>
          <w:tcPr>
            <w:tcW w:w="326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磋商范围</w:t>
            </w:r>
          </w:p>
        </w:tc>
        <w:tc>
          <w:tcPr>
            <w:tcW w:w="35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r>
              <w:rPr>
                <w:rFonts w:hint="eastAsia" w:ascii="新宋体" w:hAnsi="新宋体" w:eastAsia="新宋体"/>
                <w:color w:val="auto"/>
                <w:sz w:val="18"/>
                <w:szCs w:val="18"/>
                <w:highlight w:val="none"/>
                <w:lang w:eastAsia="zh-CN"/>
              </w:rPr>
              <w:t>符合第二章“投标人须知”规定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5" w:hRule="atLeast"/>
          <w:jc w:val="center"/>
        </w:trPr>
        <w:tc>
          <w:tcPr>
            <w:tcW w:w="979"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p>
        </w:tc>
        <w:tc>
          <w:tcPr>
            <w:tcW w:w="922"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p>
        </w:tc>
        <w:tc>
          <w:tcPr>
            <w:tcW w:w="326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rPr>
            </w:pPr>
            <w:r>
              <w:rPr>
                <w:rFonts w:hint="eastAsia" w:eastAsia="新宋体"/>
                <w:color w:val="auto"/>
                <w:sz w:val="18"/>
                <w:szCs w:val="18"/>
                <w:highlight w:val="none"/>
                <w:lang w:eastAsia="zh-CN"/>
              </w:rPr>
              <w:t>服务</w:t>
            </w:r>
            <w:r>
              <w:rPr>
                <w:rFonts w:hint="eastAsia" w:eastAsia="新宋体"/>
                <w:color w:val="auto"/>
                <w:sz w:val="18"/>
                <w:szCs w:val="18"/>
                <w:highlight w:val="none"/>
              </w:rPr>
              <w:t>期限</w:t>
            </w:r>
          </w:p>
        </w:tc>
        <w:tc>
          <w:tcPr>
            <w:tcW w:w="35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r>
              <w:rPr>
                <w:rFonts w:hint="eastAsia" w:ascii="新宋体" w:hAnsi="新宋体" w:eastAsia="新宋体"/>
                <w:color w:val="auto"/>
                <w:sz w:val="18"/>
                <w:szCs w:val="18"/>
                <w:highlight w:val="none"/>
                <w:lang w:eastAsia="zh-CN"/>
              </w:rPr>
              <w:t>符合第二章“投标人须知”规定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979"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p>
        </w:tc>
        <w:tc>
          <w:tcPr>
            <w:tcW w:w="922"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p>
        </w:tc>
        <w:tc>
          <w:tcPr>
            <w:tcW w:w="326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rPr>
            </w:pPr>
            <w:r>
              <w:rPr>
                <w:rFonts w:hint="eastAsia" w:ascii="新宋体" w:hAnsi="新宋体" w:eastAsia="新宋体"/>
                <w:color w:val="auto"/>
                <w:sz w:val="18"/>
                <w:szCs w:val="18"/>
                <w:highlight w:val="none"/>
                <w:lang w:eastAsia="zh-CN"/>
              </w:rPr>
              <w:t xml:space="preserve"> </w:t>
            </w:r>
            <w:r>
              <w:rPr>
                <w:rFonts w:hint="eastAsia" w:ascii="新宋体" w:hAnsi="新宋体" w:eastAsia="新宋体"/>
                <w:color w:val="auto"/>
                <w:sz w:val="18"/>
                <w:szCs w:val="18"/>
                <w:highlight w:val="none"/>
              </w:rPr>
              <w:t>质量要求</w:t>
            </w:r>
          </w:p>
        </w:tc>
        <w:tc>
          <w:tcPr>
            <w:tcW w:w="35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r>
              <w:rPr>
                <w:rFonts w:hint="eastAsia" w:ascii="新宋体" w:hAnsi="新宋体" w:eastAsia="新宋体"/>
                <w:color w:val="auto"/>
                <w:sz w:val="18"/>
                <w:szCs w:val="18"/>
                <w:highlight w:val="none"/>
                <w:lang w:eastAsia="zh-CN"/>
              </w:rPr>
              <w:t>符合第二章“投标人须知”规定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9" w:hRule="atLeast"/>
          <w:jc w:val="center"/>
        </w:trPr>
        <w:tc>
          <w:tcPr>
            <w:tcW w:w="979"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p>
        </w:tc>
        <w:tc>
          <w:tcPr>
            <w:tcW w:w="922"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p>
        </w:tc>
        <w:tc>
          <w:tcPr>
            <w:tcW w:w="326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磋商有效期</w:t>
            </w:r>
          </w:p>
        </w:tc>
        <w:tc>
          <w:tcPr>
            <w:tcW w:w="35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r>
              <w:rPr>
                <w:rFonts w:hint="eastAsia" w:ascii="新宋体" w:hAnsi="新宋体" w:eastAsia="新宋体"/>
                <w:color w:val="auto"/>
                <w:sz w:val="18"/>
                <w:szCs w:val="18"/>
                <w:highlight w:val="none"/>
                <w:lang w:eastAsia="zh-CN"/>
              </w:rPr>
              <w:t>符合第二章“投标人须知”规定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979"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p>
        </w:tc>
        <w:tc>
          <w:tcPr>
            <w:tcW w:w="922" w:type="dxa"/>
            <w:vMerge w:val="continue"/>
            <w:tcBorders>
              <w:right w:val="single" w:color="auto" w:sz="4" w:space="0"/>
            </w:tcBorders>
            <w:noWrap/>
            <w:vAlign w:val="center"/>
          </w:tcPr>
          <w:p>
            <w:pPr>
              <w:spacing w:line="360" w:lineRule="auto"/>
              <w:jc w:val="center"/>
              <w:rPr>
                <w:rFonts w:ascii="新宋体" w:hAnsi="新宋体" w:eastAsia="新宋体"/>
                <w:color w:val="auto"/>
                <w:sz w:val="18"/>
                <w:szCs w:val="18"/>
                <w:highlight w:val="none"/>
                <w:lang w:eastAsia="zh-CN"/>
              </w:rPr>
            </w:pPr>
          </w:p>
        </w:tc>
        <w:tc>
          <w:tcPr>
            <w:tcW w:w="326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投标报价</w:t>
            </w:r>
          </w:p>
        </w:tc>
        <w:tc>
          <w:tcPr>
            <w:tcW w:w="35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不高于招标控制价</w:t>
            </w:r>
          </w:p>
        </w:tc>
      </w:tr>
    </w:tbl>
    <w:p>
      <w:pPr>
        <w:tabs>
          <w:tab w:val="left" w:pos="1260"/>
        </w:tabs>
        <w:autoSpaceDE w:val="0"/>
        <w:autoSpaceDN w:val="0"/>
        <w:adjustRightInd w:val="0"/>
        <w:spacing w:line="360" w:lineRule="auto"/>
        <w:contextualSpacing/>
        <w:jc w:val="left"/>
        <w:rPr>
          <w:rFonts w:ascii="宋体" w:hAnsi="宋体" w:eastAsia="宋体"/>
          <w:b/>
          <w:bCs/>
          <w:color w:val="auto"/>
          <w:sz w:val="24"/>
          <w:szCs w:val="24"/>
          <w:highlight w:val="none"/>
        </w:rPr>
      </w:pPr>
    </w:p>
    <w:p>
      <w:pPr>
        <w:pStyle w:val="2"/>
        <w:rPr>
          <w:rFonts w:ascii="宋体" w:hAnsi="宋体" w:eastAsia="宋体"/>
          <w:b/>
          <w:bCs/>
          <w:color w:val="auto"/>
          <w:sz w:val="24"/>
          <w:szCs w:val="24"/>
          <w:highlight w:val="none"/>
        </w:rPr>
      </w:pPr>
    </w:p>
    <w:p>
      <w:pPr>
        <w:pStyle w:val="3"/>
        <w:rPr>
          <w:rFonts w:hAnsi="宋体"/>
          <w:b/>
          <w:bCs/>
          <w:color w:val="auto"/>
          <w:highlight w:val="none"/>
        </w:rPr>
      </w:pPr>
    </w:p>
    <w:p>
      <w:pPr>
        <w:tabs>
          <w:tab w:val="left" w:pos="1260"/>
        </w:tabs>
        <w:autoSpaceDE w:val="0"/>
        <w:autoSpaceDN w:val="0"/>
        <w:adjustRightInd w:val="0"/>
        <w:spacing w:line="360" w:lineRule="auto"/>
        <w:contextualSpacing/>
        <w:jc w:val="left"/>
        <w:rPr>
          <w:rFonts w:ascii="宋体" w:hAnsi="宋体" w:cs="仿宋_GB2312"/>
          <w:b/>
          <w:color w:val="auto"/>
          <w:sz w:val="24"/>
          <w:highlight w:val="none"/>
          <w:lang w:val="zh-CN"/>
        </w:rPr>
      </w:pPr>
      <w:r>
        <w:rPr>
          <w:rFonts w:hint="eastAsia" w:ascii="宋体" w:hAnsi="宋体" w:eastAsia="宋体"/>
          <w:b/>
          <w:bCs/>
          <w:color w:val="auto"/>
          <w:sz w:val="24"/>
          <w:szCs w:val="24"/>
          <w:highlight w:val="none"/>
        </w:rPr>
        <w:t>评分细则见下表。</w:t>
      </w:r>
    </w:p>
    <w:tbl>
      <w:tblPr>
        <w:tblStyle w:val="28"/>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2340"/>
        <w:gridCol w:w="5100"/>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596" w:type="dxa"/>
            <w:gridSpan w:val="2"/>
            <w:vAlign w:val="center"/>
          </w:tcPr>
          <w:p>
            <w:pPr>
              <w:spacing w:line="360" w:lineRule="auto"/>
              <w:jc w:val="center"/>
              <w:rPr>
                <w:rFonts w:ascii="宋体" w:hAnsi="宋体" w:eastAsia="宋体"/>
                <w:b/>
                <w:bCs/>
                <w:color w:val="auto"/>
                <w:szCs w:val="21"/>
                <w:highlight w:val="none"/>
                <w:lang w:eastAsia="zh-CN"/>
              </w:rPr>
            </w:pPr>
            <w:r>
              <w:rPr>
                <w:rFonts w:hint="eastAsia" w:ascii="宋体" w:hAnsi="宋体" w:eastAsia="宋体"/>
                <w:b/>
                <w:bCs/>
                <w:color w:val="auto"/>
                <w:szCs w:val="21"/>
                <w:highlight w:val="none"/>
              </w:rPr>
              <w:t>分值构成</w:t>
            </w:r>
          </w:p>
        </w:tc>
        <w:tc>
          <w:tcPr>
            <w:tcW w:w="6144" w:type="dxa"/>
            <w:gridSpan w:val="2"/>
            <w:vAlign w:val="center"/>
          </w:tcPr>
          <w:p>
            <w:pPr>
              <w:spacing w:line="360" w:lineRule="auto"/>
              <w:jc w:val="center"/>
              <w:rPr>
                <w:rFonts w:ascii="宋体" w:hAnsi="宋体" w:eastAsia="宋体"/>
                <w:b/>
                <w:bCs/>
                <w:color w:val="auto"/>
                <w:szCs w:val="21"/>
                <w:highlight w:val="none"/>
                <w:lang w:eastAsia="zh-CN"/>
              </w:rPr>
            </w:pPr>
            <w:r>
              <w:rPr>
                <w:rFonts w:hint="eastAsia" w:ascii="宋体" w:hAnsi="宋体" w:eastAsia="宋体"/>
                <w:b/>
                <w:bCs/>
                <w:color w:val="auto"/>
                <w:szCs w:val="21"/>
                <w:highlight w:val="none"/>
                <w:lang w:eastAsia="zh-CN"/>
              </w:rPr>
              <w:t>报价得分：20分商务部分：40分技术部分：40分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6" w:type="dxa"/>
            <w:vAlign w:val="center"/>
          </w:tcPr>
          <w:p>
            <w:pPr>
              <w:spacing w:line="360" w:lineRule="auto"/>
              <w:jc w:val="center"/>
              <w:rPr>
                <w:rFonts w:ascii="宋体" w:hAnsi="宋体" w:eastAsia="宋体"/>
                <w:b/>
                <w:bCs/>
                <w:color w:val="auto"/>
                <w:szCs w:val="21"/>
                <w:highlight w:val="none"/>
                <w:lang w:eastAsia="zh-CN"/>
              </w:rPr>
            </w:pPr>
            <w:r>
              <w:rPr>
                <w:rFonts w:hint="eastAsia" w:ascii="宋体" w:hAnsi="宋体" w:eastAsia="宋体"/>
                <w:b/>
                <w:bCs/>
                <w:color w:val="auto"/>
                <w:szCs w:val="21"/>
                <w:highlight w:val="none"/>
              </w:rPr>
              <w:t>评分因素</w:t>
            </w:r>
          </w:p>
        </w:tc>
        <w:tc>
          <w:tcPr>
            <w:tcW w:w="2340" w:type="dxa"/>
            <w:vAlign w:val="center"/>
          </w:tcPr>
          <w:p>
            <w:pPr>
              <w:spacing w:line="360" w:lineRule="auto"/>
              <w:jc w:val="center"/>
              <w:rPr>
                <w:rFonts w:ascii="宋体" w:hAnsi="宋体" w:eastAsia="宋体"/>
                <w:b/>
                <w:bCs/>
                <w:color w:val="auto"/>
                <w:szCs w:val="21"/>
                <w:highlight w:val="none"/>
                <w:lang w:eastAsia="zh-CN"/>
              </w:rPr>
            </w:pPr>
            <w:r>
              <w:rPr>
                <w:rFonts w:hint="eastAsia" w:ascii="宋体" w:hAnsi="宋体" w:eastAsia="宋体"/>
                <w:b/>
                <w:bCs/>
                <w:color w:val="auto"/>
                <w:szCs w:val="21"/>
                <w:highlight w:val="none"/>
              </w:rPr>
              <w:t>评分内容</w:t>
            </w:r>
          </w:p>
        </w:tc>
        <w:tc>
          <w:tcPr>
            <w:tcW w:w="5100" w:type="dxa"/>
            <w:vAlign w:val="center"/>
          </w:tcPr>
          <w:p>
            <w:pPr>
              <w:spacing w:line="360" w:lineRule="auto"/>
              <w:jc w:val="center"/>
              <w:rPr>
                <w:rFonts w:ascii="宋体" w:hAnsi="宋体" w:eastAsia="宋体"/>
                <w:b/>
                <w:bCs/>
                <w:color w:val="auto"/>
                <w:szCs w:val="21"/>
                <w:highlight w:val="none"/>
                <w:lang w:eastAsia="zh-CN"/>
              </w:rPr>
            </w:pPr>
            <w:r>
              <w:rPr>
                <w:rFonts w:hint="eastAsia" w:ascii="宋体" w:hAnsi="宋体" w:eastAsia="宋体"/>
                <w:b/>
                <w:bCs/>
                <w:color w:val="auto"/>
                <w:szCs w:val="21"/>
                <w:highlight w:val="none"/>
              </w:rPr>
              <w:t>评分标准</w:t>
            </w:r>
          </w:p>
        </w:tc>
        <w:tc>
          <w:tcPr>
            <w:tcW w:w="1044" w:type="dxa"/>
            <w:vAlign w:val="center"/>
          </w:tcPr>
          <w:p>
            <w:pPr>
              <w:spacing w:line="360" w:lineRule="auto"/>
              <w:jc w:val="center"/>
              <w:rPr>
                <w:rFonts w:ascii="宋体" w:hAnsi="宋体" w:eastAsia="宋体"/>
                <w:b/>
                <w:bCs/>
                <w:color w:val="auto"/>
                <w:szCs w:val="21"/>
                <w:highlight w:val="none"/>
                <w:lang w:eastAsia="zh-CN"/>
              </w:rPr>
            </w:pPr>
            <w:r>
              <w:rPr>
                <w:rFonts w:hint="eastAsia" w:ascii="宋体" w:hAnsi="宋体" w:eastAsia="宋体"/>
                <w:b/>
                <w:bCs/>
                <w:color w:val="auto"/>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6" w:type="dxa"/>
            <w:vAlign w:val="center"/>
          </w:tcPr>
          <w:p>
            <w:pPr>
              <w:pStyle w:val="3"/>
              <w:spacing w:line="360" w:lineRule="auto"/>
              <w:jc w:val="center"/>
              <w:rPr>
                <w:rFonts w:hAnsi="宋体"/>
                <w:b/>
                <w:bCs/>
                <w:color w:val="auto"/>
                <w:sz w:val="21"/>
                <w:highlight w:val="none"/>
              </w:rPr>
            </w:pPr>
            <w:r>
              <w:rPr>
                <w:rFonts w:hint="eastAsia" w:hAnsi="宋体"/>
                <w:b/>
                <w:bCs/>
                <w:color w:val="auto"/>
                <w:sz w:val="21"/>
                <w:highlight w:val="none"/>
              </w:rPr>
              <w:t>报价得分</w:t>
            </w:r>
          </w:p>
          <w:p>
            <w:pPr>
              <w:pStyle w:val="3"/>
              <w:spacing w:line="360" w:lineRule="auto"/>
              <w:jc w:val="center"/>
              <w:rPr>
                <w:rFonts w:hAnsi="宋体"/>
                <w:color w:val="auto"/>
                <w:sz w:val="21"/>
                <w:highlight w:val="none"/>
              </w:rPr>
            </w:pPr>
            <w:r>
              <w:rPr>
                <w:rFonts w:hint="eastAsia" w:hAnsi="宋体"/>
                <w:b/>
                <w:bCs/>
                <w:color w:val="auto"/>
                <w:sz w:val="21"/>
                <w:highlight w:val="none"/>
              </w:rPr>
              <w:t>（</w:t>
            </w:r>
            <w:r>
              <w:rPr>
                <w:rFonts w:hAnsi="宋体"/>
                <w:b/>
                <w:bCs/>
                <w:color w:val="auto"/>
                <w:sz w:val="21"/>
                <w:highlight w:val="none"/>
              </w:rPr>
              <w:t>2</w:t>
            </w:r>
            <w:r>
              <w:rPr>
                <w:rFonts w:hint="eastAsia" w:hAnsi="宋体"/>
                <w:b/>
                <w:bCs/>
                <w:color w:val="auto"/>
                <w:sz w:val="21"/>
                <w:highlight w:val="none"/>
              </w:rPr>
              <w:t>0分）</w:t>
            </w:r>
          </w:p>
        </w:tc>
        <w:tc>
          <w:tcPr>
            <w:tcW w:w="2340" w:type="dxa"/>
            <w:vAlign w:val="center"/>
          </w:tcPr>
          <w:p>
            <w:pPr>
              <w:spacing w:line="360" w:lineRule="auto"/>
              <w:jc w:val="center"/>
              <w:rPr>
                <w:rFonts w:ascii="宋体" w:hAnsi="宋体" w:eastAsia="宋体"/>
                <w:b/>
                <w:bCs/>
                <w:color w:val="auto"/>
                <w:szCs w:val="21"/>
                <w:highlight w:val="none"/>
                <w:lang w:eastAsia="zh-CN"/>
              </w:rPr>
            </w:pPr>
            <w:r>
              <w:rPr>
                <w:rFonts w:hint="eastAsia" w:ascii="宋体" w:hAnsi="宋体" w:eastAsia="宋体"/>
                <w:color w:val="auto"/>
                <w:szCs w:val="21"/>
                <w:highlight w:val="none"/>
                <w:lang w:eastAsia="zh-CN"/>
              </w:rPr>
              <w:t>磋商报价</w:t>
            </w:r>
          </w:p>
        </w:tc>
        <w:tc>
          <w:tcPr>
            <w:tcW w:w="5100" w:type="dxa"/>
            <w:vAlign w:val="center"/>
          </w:tcPr>
          <w:p>
            <w:pPr>
              <w:spacing w:line="360" w:lineRule="auto"/>
              <w:jc w:val="left"/>
              <w:rPr>
                <w:rFonts w:ascii="宋体" w:hAnsi="宋体" w:eastAsia="宋体"/>
                <w:color w:val="auto"/>
                <w:szCs w:val="21"/>
                <w:highlight w:val="none"/>
                <w:lang w:eastAsia="zh-CN"/>
              </w:rPr>
            </w:pPr>
            <w:r>
              <w:rPr>
                <w:rFonts w:hint="eastAsia" w:ascii="宋体" w:hAnsi="宋体" w:eastAsia="宋体"/>
                <w:color w:val="auto"/>
                <w:szCs w:val="21"/>
                <w:highlight w:val="none"/>
                <w:lang w:eastAsia="zh-CN"/>
              </w:rPr>
              <w:t>1、本次招标设有最高限价。响应人报价超过最高限价的为无效报价，评委将不予评议。</w:t>
            </w:r>
          </w:p>
          <w:p>
            <w:pPr>
              <w:spacing w:line="360" w:lineRule="auto"/>
              <w:jc w:val="left"/>
              <w:rPr>
                <w:rFonts w:ascii="宋体" w:hAnsi="宋体" w:eastAsia="宋体"/>
                <w:color w:val="auto"/>
                <w:szCs w:val="21"/>
                <w:highlight w:val="none"/>
                <w:lang w:eastAsia="zh-CN"/>
              </w:rPr>
            </w:pPr>
            <w:r>
              <w:rPr>
                <w:rFonts w:hint="eastAsia" w:ascii="宋体" w:hAnsi="宋体" w:eastAsia="宋体"/>
                <w:color w:val="auto"/>
                <w:szCs w:val="21"/>
                <w:highlight w:val="none"/>
                <w:lang w:eastAsia="zh-CN"/>
              </w:rPr>
              <w:t>2、投标报价明显低于其它投标报价，使得其投标报价可能低于其成本的，应当要求该响应人作出书面说明并提供相关证明材料。响应人不能合理说明或者不能提供相关证明材料的，由磋商小组认定该响应人以低于成本报价竞标，其投标应作废标处理。</w:t>
            </w:r>
          </w:p>
          <w:p>
            <w:pPr>
              <w:pStyle w:val="3"/>
              <w:spacing w:line="360" w:lineRule="auto"/>
              <w:rPr>
                <w:rFonts w:hAnsi="宋体"/>
                <w:color w:val="auto"/>
                <w:sz w:val="21"/>
                <w:highlight w:val="none"/>
              </w:rPr>
            </w:pPr>
            <w:r>
              <w:rPr>
                <w:rFonts w:hint="eastAsia" w:hAnsi="宋体"/>
                <w:color w:val="auto"/>
                <w:sz w:val="21"/>
                <w:highlight w:val="none"/>
              </w:rPr>
              <w:t>3、若响应人为小型或微型企业、监狱、残疾人福利企业，评审时，价格给予6%的扣除，用扣除后的价格参与评审（提供证明材料）。</w:t>
            </w:r>
          </w:p>
          <w:p>
            <w:pPr>
              <w:spacing w:line="360" w:lineRule="auto"/>
              <w:rPr>
                <w:rFonts w:ascii="宋体" w:hAnsi="宋体" w:eastAsia="宋体"/>
                <w:color w:val="auto"/>
                <w:szCs w:val="21"/>
                <w:highlight w:val="none"/>
                <w:lang w:eastAsia="zh-CN"/>
              </w:rPr>
            </w:pPr>
            <w:r>
              <w:rPr>
                <w:rFonts w:hint="eastAsia" w:ascii="宋体" w:hAnsi="宋体" w:eastAsia="宋体"/>
                <w:color w:val="auto"/>
                <w:szCs w:val="21"/>
                <w:highlight w:val="none"/>
                <w:lang w:eastAsia="zh-CN"/>
              </w:rPr>
              <w:t>4、磋商基准价=所有有效响应人中磋商最终报价最低的报价为磋商基准价，其价格得分为满分20分。</w:t>
            </w:r>
          </w:p>
          <w:p>
            <w:pPr>
              <w:spacing w:line="360" w:lineRule="auto"/>
              <w:rPr>
                <w:rFonts w:ascii="宋体" w:hAnsi="宋体" w:eastAsia="宋体"/>
                <w:color w:val="auto"/>
                <w:szCs w:val="21"/>
                <w:highlight w:val="none"/>
                <w:lang w:eastAsia="zh-CN"/>
              </w:rPr>
            </w:pPr>
            <w:r>
              <w:rPr>
                <w:rFonts w:hint="eastAsia" w:ascii="宋体" w:hAnsi="宋体" w:eastAsia="宋体"/>
                <w:color w:val="auto"/>
                <w:szCs w:val="21"/>
                <w:highlight w:val="none"/>
                <w:lang w:eastAsia="zh-CN"/>
              </w:rPr>
              <w:t>注：有效响应人：是指通过本章初步评审审查的响应人。</w:t>
            </w:r>
          </w:p>
          <w:p>
            <w:pPr>
              <w:spacing w:line="360" w:lineRule="auto"/>
              <w:rPr>
                <w:rFonts w:ascii="宋体" w:hAnsi="宋体" w:eastAsia="宋体"/>
                <w:color w:val="auto"/>
                <w:szCs w:val="21"/>
                <w:highlight w:val="none"/>
                <w:lang w:eastAsia="zh-CN"/>
              </w:rPr>
            </w:pPr>
            <w:r>
              <w:rPr>
                <w:rFonts w:hint="eastAsia" w:ascii="宋体" w:hAnsi="宋体" w:eastAsia="宋体"/>
                <w:color w:val="auto"/>
                <w:szCs w:val="21"/>
                <w:highlight w:val="none"/>
                <w:lang w:eastAsia="zh-CN"/>
              </w:rPr>
              <w:t>磋商报价报价得分=（磋商基准价/最终磋商报价）×20</w:t>
            </w:r>
          </w:p>
          <w:p>
            <w:pPr>
              <w:spacing w:line="360" w:lineRule="auto"/>
              <w:rPr>
                <w:rFonts w:ascii="宋体" w:hAnsi="宋体" w:eastAsia="宋体"/>
                <w:b/>
                <w:bCs/>
                <w:color w:val="auto"/>
                <w:szCs w:val="21"/>
                <w:highlight w:val="none"/>
                <w:lang w:eastAsia="zh-CN"/>
              </w:rPr>
            </w:pPr>
            <w:r>
              <w:rPr>
                <w:rFonts w:hint="eastAsia" w:ascii="宋体" w:hAnsi="宋体" w:eastAsia="宋体"/>
                <w:color w:val="auto"/>
                <w:szCs w:val="21"/>
                <w:highlight w:val="none"/>
                <w:lang w:eastAsia="zh-CN"/>
              </w:rPr>
              <w:t>注：报价得分按四舍五入保留两位小数。</w:t>
            </w:r>
          </w:p>
        </w:tc>
        <w:tc>
          <w:tcPr>
            <w:tcW w:w="1044" w:type="dxa"/>
            <w:vAlign w:val="center"/>
          </w:tcPr>
          <w:p>
            <w:pPr>
              <w:spacing w:line="360" w:lineRule="auto"/>
              <w:jc w:val="center"/>
              <w:rPr>
                <w:rFonts w:ascii="宋体" w:hAnsi="宋体" w:eastAsia="宋体"/>
                <w:color w:val="auto"/>
                <w:szCs w:val="21"/>
                <w:highlight w:val="none"/>
                <w:lang w:eastAsia="zh-CN"/>
              </w:rPr>
            </w:pPr>
            <w:r>
              <w:rPr>
                <w:rFonts w:ascii="宋体" w:hAnsi="宋体" w:eastAsia="宋体"/>
                <w:color w:val="auto"/>
                <w:szCs w:val="21"/>
                <w:highlight w:val="none"/>
                <w:lang w:eastAsia="zh-CN"/>
              </w:rPr>
              <w:t>2</w:t>
            </w:r>
            <w:r>
              <w:rPr>
                <w:rFonts w:hint="eastAsia" w:ascii="宋体" w:hAnsi="宋体" w:eastAsia="宋体"/>
                <w:color w:val="auto"/>
                <w:szCs w:val="21"/>
                <w:highlight w:val="none"/>
                <w:lang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256" w:type="dxa"/>
            <w:vMerge w:val="restart"/>
            <w:vAlign w:val="center"/>
          </w:tcPr>
          <w:p>
            <w:pPr>
              <w:spacing w:before="161" w:after="161" w:line="360" w:lineRule="auto"/>
              <w:jc w:val="center"/>
              <w:rPr>
                <w:rFonts w:ascii="宋体" w:hAnsi="宋体" w:eastAsia="宋体"/>
                <w:b/>
                <w:bCs/>
                <w:color w:val="auto"/>
                <w:szCs w:val="21"/>
                <w:highlight w:val="none"/>
              </w:rPr>
            </w:pPr>
            <w:r>
              <w:rPr>
                <w:rFonts w:hint="eastAsia" w:ascii="宋体" w:hAnsi="宋体" w:eastAsia="宋体"/>
                <w:b/>
                <w:bCs/>
                <w:color w:val="auto"/>
                <w:szCs w:val="21"/>
                <w:highlight w:val="none"/>
              </w:rPr>
              <w:t>商务部分</w:t>
            </w:r>
          </w:p>
          <w:p>
            <w:pPr>
              <w:spacing w:line="360" w:lineRule="auto"/>
              <w:jc w:val="center"/>
              <w:rPr>
                <w:rFonts w:ascii="宋体" w:hAnsi="宋体" w:eastAsia="宋体"/>
                <w:b/>
                <w:bCs/>
                <w:color w:val="auto"/>
                <w:szCs w:val="21"/>
                <w:highlight w:val="none"/>
                <w:lang w:eastAsia="zh-CN"/>
              </w:rPr>
            </w:pPr>
            <w:r>
              <w:rPr>
                <w:rFonts w:hint="eastAsia" w:ascii="宋体" w:hAnsi="宋体" w:eastAsia="宋体"/>
                <w:b/>
                <w:bCs/>
                <w:color w:val="auto"/>
                <w:szCs w:val="21"/>
                <w:highlight w:val="none"/>
              </w:rPr>
              <w:t>（</w:t>
            </w:r>
            <w:r>
              <w:rPr>
                <w:rFonts w:hint="eastAsia" w:ascii="宋体" w:hAnsi="宋体" w:eastAsia="宋体"/>
                <w:b/>
                <w:bCs/>
                <w:color w:val="auto"/>
                <w:szCs w:val="21"/>
                <w:highlight w:val="none"/>
                <w:lang w:eastAsia="zh-CN"/>
              </w:rPr>
              <w:t>40</w:t>
            </w:r>
            <w:r>
              <w:rPr>
                <w:rFonts w:hint="eastAsia" w:ascii="宋体" w:hAnsi="宋体" w:eastAsia="宋体"/>
                <w:b/>
                <w:bCs/>
                <w:color w:val="auto"/>
                <w:szCs w:val="21"/>
                <w:highlight w:val="none"/>
              </w:rPr>
              <w:t>分）</w:t>
            </w:r>
          </w:p>
        </w:tc>
        <w:tc>
          <w:tcPr>
            <w:tcW w:w="2340" w:type="dxa"/>
            <w:vAlign w:val="center"/>
          </w:tcPr>
          <w:p>
            <w:pPr>
              <w:widowControl/>
              <w:spacing w:line="360" w:lineRule="auto"/>
              <w:jc w:val="center"/>
              <w:textAlignment w:val="center"/>
              <w:rPr>
                <w:rFonts w:ascii="宋体" w:hAnsi="宋体" w:eastAsia="宋体"/>
                <w:b/>
                <w:bCs/>
                <w:color w:val="auto"/>
                <w:szCs w:val="21"/>
                <w:highlight w:val="none"/>
                <w:lang w:eastAsia="zh-CN"/>
              </w:rPr>
            </w:pPr>
            <w:r>
              <w:rPr>
                <w:rFonts w:hint="eastAsia" w:ascii="宋体" w:hAnsi="宋体" w:eastAsia="宋体"/>
                <w:bCs/>
                <w:color w:val="auto"/>
                <w:szCs w:val="21"/>
                <w:highlight w:val="none"/>
              </w:rPr>
              <w:t>企业荣誉</w:t>
            </w:r>
          </w:p>
        </w:tc>
        <w:tc>
          <w:tcPr>
            <w:tcW w:w="5100" w:type="dxa"/>
            <w:vAlign w:val="center"/>
          </w:tcPr>
          <w:p>
            <w:pPr>
              <w:pStyle w:val="16"/>
              <w:spacing w:line="360" w:lineRule="auto"/>
              <w:ind w:left="0" w:leftChars="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自2010年1月1日以来承担过的业绩获得国家级奖项的得8分，获得省级奖项的得5分，本项满分20分（提供能有效证明其业绩的材料合同或中标通知书、奖励证书）注：荣誉不重复计分</w:t>
            </w:r>
          </w:p>
        </w:tc>
        <w:tc>
          <w:tcPr>
            <w:tcW w:w="1044" w:type="dxa"/>
            <w:vAlign w:val="center"/>
          </w:tcPr>
          <w:p>
            <w:pPr>
              <w:spacing w:line="360" w:lineRule="auto"/>
              <w:jc w:val="center"/>
              <w:rPr>
                <w:rFonts w:ascii="宋体" w:hAnsi="宋体" w:eastAsia="宋体"/>
                <w:color w:val="auto"/>
                <w:szCs w:val="21"/>
                <w:highlight w:val="none"/>
                <w:lang w:eastAsia="zh-CN"/>
              </w:rPr>
            </w:pPr>
            <w:r>
              <w:rPr>
                <w:rFonts w:hint="eastAsia" w:ascii="宋体" w:hAnsi="宋体" w:eastAsia="宋体"/>
                <w:color w:val="auto"/>
                <w:szCs w:val="21"/>
                <w:highlight w:val="none"/>
                <w:lang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1256" w:type="dxa"/>
            <w:vMerge w:val="continue"/>
            <w:vAlign w:val="center"/>
          </w:tcPr>
          <w:p>
            <w:pPr>
              <w:spacing w:line="360" w:lineRule="auto"/>
              <w:rPr>
                <w:rFonts w:ascii="宋体" w:hAnsi="宋体" w:eastAsia="宋体"/>
                <w:b/>
                <w:bCs/>
                <w:color w:val="auto"/>
                <w:szCs w:val="21"/>
                <w:highlight w:val="none"/>
                <w:lang w:eastAsia="zh-CN"/>
              </w:rPr>
            </w:pPr>
          </w:p>
        </w:tc>
        <w:tc>
          <w:tcPr>
            <w:tcW w:w="2340" w:type="dxa"/>
            <w:vAlign w:val="center"/>
          </w:tcPr>
          <w:p>
            <w:pPr>
              <w:spacing w:line="360" w:lineRule="auto"/>
              <w:jc w:val="center"/>
              <w:rPr>
                <w:rFonts w:ascii="宋体" w:hAnsi="宋体" w:eastAsia="宋体"/>
                <w:b/>
                <w:bCs/>
                <w:color w:val="auto"/>
                <w:szCs w:val="21"/>
                <w:highlight w:val="none"/>
                <w:lang w:eastAsia="zh-CN"/>
              </w:rPr>
            </w:pPr>
            <w:r>
              <w:rPr>
                <w:rFonts w:hint="eastAsia" w:ascii="宋体" w:hAnsi="宋体" w:eastAsia="宋体"/>
                <w:b/>
                <w:color w:val="auto"/>
                <w:szCs w:val="21"/>
                <w:highlight w:val="none"/>
                <w:lang w:eastAsia="zh-CN"/>
              </w:rPr>
              <w:t>业绩</w:t>
            </w:r>
          </w:p>
        </w:tc>
        <w:tc>
          <w:tcPr>
            <w:tcW w:w="5100" w:type="dxa"/>
            <w:vAlign w:val="center"/>
          </w:tcPr>
          <w:p>
            <w:pPr>
              <w:widowControl/>
              <w:spacing w:line="360" w:lineRule="auto"/>
              <w:jc w:val="left"/>
              <w:textAlignment w:val="center"/>
              <w:rPr>
                <w:rFonts w:eastAsia="宋体"/>
                <w:color w:val="auto"/>
                <w:highlight w:val="none"/>
                <w:lang w:eastAsia="zh-CN"/>
              </w:rPr>
            </w:pPr>
            <w:r>
              <w:rPr>
                <w:rFonts w:hint="eastAsia" w:ascii="宋体" w:hAnsi="宋体" w:eastAsia="宋体"/>
                <w:color w:val="auto"/>
                <w:sz w:val="21"/>
                <w:szCs w:val="21"/>
                <w:highlight w:val="none"/>
                <w:lang w:val="en-US" w:eastAsia="zh-CN"/>
              </w:rPr>
              <w:t>自2010年1月1日以来</w:t>
            </w:r>
            <w:r>
              <w:rPr>
                <w:rFonts w:hint="eastAsia" w:ascii="宋体" w:hAnsi="宋体" w:eastAsia="宋体"/>
                <w:color w:val="auto"/>
                <w:szCs w:val="21"/>
                <w:highlight w:val="none"/>
                <w:lang w:eastAsia="zh-CN"/>
              </w:rPr>
              <w:t>完成过省级及以上石化化工基地或化工园区规划业绩的，每个得</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lang w:eastAsia="zh-CN"/>
              </w:rPr>
              <w:t>分。本项满分20分。（提供能有效证明其业绩的材料合同或中标通知书），</w:t>
            </w:r>
            <w:r>
              <w:rPr>
                <w:rFonts w:hint="eastAsia" w:ascii="宋体" w:hAnsi="宋体" w:eastAsia="宋体"/>
                <w:b/>
                <w:bCs/>
                <w:color w:val="auto"/>
                <w:szCs w:val="21"/>
                <w:highlight w:val="none"/>
                <w:lang w:eastAsia="zh-CN"/>
              </w:rPr>
              <w:t>注：业绩不得重复计分。</w:t>
            </w:r>
          </w:p>
        </w:tc>
        <w:tc>
          <w:tcPr>
            <w:tcW w:w="1044" w:type="dxa"/>
            <w:vAlign w:val="center"/>
          </w:tcPr>
          <w:p>
            <w:pPr>
              <w:spacing w:line="360" w:lineRule="auto"/>
              <w:jc w:val="center"/>
              <w:rPr>
                <w:rFonts w:ascii="宋体" w:hAnsi="宋体" w:eastAsia="宋体"/>
                <w:color w:val="auto"/>
                <w:szCs w:val="21"/>
                <w:highlight w:val="none"/>
                <w:lang w:eastAsia="zh-CN"/>
              </w:rPr>
            </w:pPr>
            <w:r>
              <w:rPr>
                <w:rFonts w:hint="eastAsia" w:ascii="宋体" w:hAnsi="宋体" w:eastAsia="宋体"/>
                <w:color w:val="auto"/>
                <w:szCs w:val="21"/>
                <w:highlight w:val="none"/>
                <w:lang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256" w:type="dxa"/>
            <w:vMerge w:val="restart"/>
            <w:vAlign w:val="center"/>
          </w:tcPr>
          <w:p>
            <w:pPr>
              <w:spacing w:before="161" w:after="161" w:line="360" w:lineRule="auto"/>
              <w:jc w:val="center"/>
              <w:rPr>
                <w:rFonts w:ascii="宋体" w:hAnsi="宋体" w:eastAsia="宋体"/>
                <w:b/>
                <w:bCs/>
                <w:color w:val="auto"/>
                <w:szCs w:val="21"/>
                <w:highlight w:val="none"/>
              </w:rPr>
            </w:pPr>
          </w:p>
          <w:p>
            <w:pPr>
              <w:spacing w:before="161" w:after="161" w:line="360" w:lineRule="auto"/>
              <w:jc w:val="center"/>
              <w:rPr>
                <w:rFonts w:ascii="宋体" w:hAnsi="宋体" w:eastAsia="宋体"/>
                <w:b/>
                <w:bCs/>
                <w:color w:val="auto"/>
                <w:szCs w:val="21"/>
                <w:highlight w:val="none"/>
              </w:rPr>
            </w:pPr>
          </w:p>
          <w:p>
            <w:pPr>
              <w:spacing w:before="161" w:after="161" w:line="360" w:lineRule="auto"/>
              <w:jc w:val="center"/>
              <w:rPr>
                <w:rFonts w:ascii="宋体" w:hAnsi="宋体" w:eastAsia="宋体"/>
                <w:b/>
                <w:bCs/>
                <w:color w:val="auto"/>
                <w:szCs w:val="21"/>
                <w:highlight w:val="none"/>
              </w:rPr>
            </w:pPr>
          </w:p>
          <w:p>
            <w:pPr>
              <w:spacing w:before="161" w:after="161" w:line="360" w:lineRule="auto"/>
              <w:jc w:val="center"/>
              <w:rPr>
                <w:rFonts w:ascii="宋体" w:hAnsi="宋体" w:eastAsia="宋体"/>
                <w:b/>
                <w:bCs/>
                <w:color w:val="auto"/>
                <w:szCs w:val="21"/>
                <w:highlight w:val="none"/>
              </w:rPr>
            </w:pPr>
          </w:p>
          <w:p>
            <w:pPr>
              <w:spacing w:before="161" w:after="161" w:line="360" w:lineRule="auto"/>
              <w:jc w:val="center"/>
              <w:rPr>
                <w:rFonts w:ascii="宋体" w:hAnsi="宋体" w:eastAsia="宋体"/>
                <w:b/>
                <w:bCs/>
                <w:color w:val="auto"/>
                <w:szCs w:val="21"/>
                <w:highlight w:val="none"/>
              </w:rPr>
            </w:pPr>
          </w:p>
          <w:p>
            <w:pPr>
              <w:spacing w:before="161" w:after="161" w:line="360" w:lineRule="auto"/>
              <w:jc w:val="center"/>
              <w:rPr>
                <w:rFonts w:ascii="宋体" w:hAnsi="宋体" w:eastAsia="宋体"/>
                <w:b/>
                <w:bCs/>
                <w:color w:val="auto"/>
                <w:szCs w:val="21"/>
                <w:highlight w:val="none"/>
              </w:rPr>
            </w:pPr>
            <w:r>
              <w:rPr>
                <w:rFonts w:hint="eastAsia" w:ascii="宋体" w:hAnsi="宋体" w:eastAsia="宋体"/>
                <w:b/>
                <w:bCs/>
                <w:color w:val="auto"/>
                <w:szCs w:val="21"/>
                <w:highlight w:val="none"/>
              </w:rPr>
              <w:t>技术部分</w:t>
            </w:r>
          </w:p>
          <w:p>
            <w:pPr>
              <w:spacing w:line="360" w:lineRule="auto"/>
              <w:jc w:val="center"/>
              <w:rPr>
                <w:rFonts w:ascii="宋体" w:hAnsi="宋体" w:eastAsia="宋体"/>
                <w:b/>
                <w:bCs/>
                <w:color w:val="auto"/>
                <w:szCs w:val="21"/>
                <w:highlight w:val="none"/>
                <w:lang w:eastAsia="zh-CN"/>
              </w:rPr>
            </w:pPr>
            <w:r>
              <w:rPr>
                <w:rFonts w:hint="eastAsia" w:ascii="宋体" w:hAnsi="宋体" w:eastAsia="宋体"/>
                <w:b/>
                <w:bCs/>
                <w:color w:val="auto"/>
                <w:szCs w:val="21"/>
                <w:highlight w:val="none"/>
              </w:rPr>
              <w:t>（</w:t>
            </w:r>
            <w:r>
              <w:rPr>
                <w:rFonts w:hint="eastAsia" w:ascii="宋体" w:hAnsi="宋体" w:eastAsia="宋体"/>
                <w:b/>
                <w:bCs/>
                <w:color w:val="auto"/>
                <w:szCs w:val="21"/>
                <w:highlight w:val="none"/>
                <w:lang w:eastAsia="zh-CN"/>
              </w:rPr>
              <w:t>40</w:t>
            </w:r>
            <w:r>
              <w:rPr>
                <w:rFonts w:hint="eastAsia" w:ascii="宋体" w:hAnsi="宋体" w:eastAsia="宋体"/>
                <w:b/>
                <w:bCs/>
                <w:color w:val="auto"/>
                <w:szCs w:val="21"/>
                <w:highlight w:val="none"/>
              </w:rPr>
              <w:t>分）</w:t>
            </w:r>
          </w:p>
        </w:tc>
        <w:tc>
          <w:tcPr>
            <w:tcW w:w="2340" w:type="dxa"/>
            <w:vAlign w:val="center"/>
          </w:tcPr>
          <w:p>
            <w:pPr>
              <w:spacing w:line="360" w:lineRule="auto"/>
              <w:rPr>
                <w:rFonts w:ascii="宋体" w:hAnsi="宋体" w:eastAsia="宋体"/>
                <w:color w:val="auto"/>
                <w:szCs w:val="21"/>
                <w:highlight w:val="none"/>
                <w:lang w:eastAsia="zh-CN"/>
              </w:rPr>
            </w:pPr>
            <w:r>
              <w:rPr>
                <w:rFonts w:hint="eastAsia" w:ascii="宋体" w:hAnsi="宋体" w:eastAsia="宋体"/>
                <w:color w:val="auto"/>
                <w:szCs w:val="21"/>
                <w:highlight w:val="none"/>
                <w:lang w:eastAsia="zh-CN"/>
              </w:rPr>
              <w:t>对本项目的解读与理解程度、针对性及准确性</w:t>
            </w:r>
          </w:p>
        </w:tc>
        <w:tc>
          <w:tcPr>
            <w:tcW w:w="5100" w:type="dxa"/>
            <w:vAlign w:val="center"/>
          </w:tcPr>
          <w:p>
            <w:pPr>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（1）理解全面；</w:t>
            </w:r>
            <w:r>
              <w:rPr>
                <w:rFonts w:hint="eastAsia" w:ascii="宋体" w:hAnsi="宋体" w:eastAsia="宋体"/>
                <w:color w:val="auto"/>
                <w:szCs w:val="21"/>
                <w:highlight w:val="none"/>
                <w:lang w:eastAsia="zh-CN"/>
              </w:rPr>
              <w:t>1</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分</w:t>
            </w:r>
            <w:r>
              <w:rPr>
                <w:rFonts w:hint="eastAsia" w:ascii="宋体" w:hAnsi="宋体" w:eastAsia="宋体"/>
                <w:color w:val="auto"/>
                <w:szCs w:val="21"/>
                <w:highlight w:val="none"/>
                <w:lang w:val="zh-CN"/>
              </w:rPr>
              <w:t>。</w:t>
            </w:r>
          </w:p>
          <w:p>
            <w:pPr>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（2）分析合理；</w:t>
            </w:r>
            <w:r>
              <w:rPr>
                <w:rFonts w:hint="eastAsia" w:ascii="宋体" w:hAnsi="宋体" w:eastAsia="宋体"/>
                <w:color w:val="auto"/>
                <w:szCs w:val="21"/>
                <w:highlight w:val="none"/>
                <w:lang w:eastAsia="zh-CN"/>
              </w:rPr>
              <w:t>1</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分</w:t>
            </w:r>
            <w:r>
              <w:rPr>
                <w:rFonts w:hint="eastAsia" w:ascii="宋体" w:hAnsi="宋体" w:eastAsia="宋体"/>
                <w:color w:val="auto"/>
                <w:szCs w:val="21"/>
                <w:highlight w:val="none"/>
                <w:lang w:val="zh-CN"/>
              </w:rPr>
              <w:t>。</w:t>
            </w:r>
          </w:p>
          <w:p>
            <w:pPr>
              <w:spacing w:line="360" w:lineRule="auto"/>
              <w:rPr>
                <w:rFonts w:hint="eastAsia" w:ascii="宋体" w:hAnsi="宋体" w:eastAsia="宋体"/>
                <w:color w:val="auto"/>
                <w:szCs w:val="21"/>
                <w:highlight w:val="none"/>
                <w:lang w:val="zh-CN" w:eastAsia="zh-CN"/>
              </w:rPr>
            </w:pPr>
            <w:r>
              <w:rPr>
                <w:rFonts w:hint="eastAsia" w:ascii="宋体" w:hAnsi="宋体" w:eastAsia="宋体"/>
                <w:color w:val="auto"/>
                <w:szCs w:val="21"/>
                <w:highlight w:val="none"/>
                <w:lang w:val="zh-CN" w:eastAsia="zh-CN"/>
              </w:rPr>
              <w:t>（</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lang w:val="zh-CN" w:eastAsia="zh-CN"/>
              </w:rPr>
              <w:t>）认知准确；</w:t>
            </w:r>
            <w:r>
              <w:rPr>
                <w:rFonts w:hint="eastAsia" w:ascii="宋体" w:hAnsi="宋体" w:eastAsia="宋体"/>
                <w:color w:val="auto"/>
                <w:szCs w:val="21"/>
                <w:highlight w:val="none"/>
                <w:lang w:eastAsia="zh-CN"/>
              </w:rPr>
              <w:t>1～2</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lang w:eastAsia="zh-CN"/>
              </w:rPr>
              <w:t>分</w:t>
            </w:r>
            <w:r>
              <w:rPr>
                <w:rFonts w:hint="eastAsia" w:ascii="宋体" w:hAnsi="宋体" w:eastAsia="宋体"/>
                <w:color w:val="auto"/>
                <w:szCs w:val="21"/>
                <w:highlight w:val="none"/>
                <w:lang w:val="zh-CN" w:eastAsia="zh-CN"/>
              </w:rPr>
              <w:t>。</w:t>
            </w:r>
          </w:p>
          <w:p>
            <w:pPr>
              <w:spacing w:line="360" w:lineRule="auto"/>
              <w:rPr>
                <w:rFonts w:hint="eastAsia" w:ascii="宋体" w:hAnsi="宋体" w:eastAsia="宋体"/>
                <w:color w:val="auto"/>
                <w:szCs w:val="21"/>
                <w:highlight w:val="none"/>
                <w:lang w:val="zh-CN" w:eastAsia="zh-CN"/>
              </w:rPr>
            </w:pPr>
            <w:r>
              <w:rPr>
                <w:rFonts w:hint="eastAsia" w:ascii="宋体" w:hAnsi="宋体" w:eastAsia="宋体"/>
                <w:color w:val="auto"/>
                <w:szCs w:val="21"/>
                <w:highlight w:val="none"/>
                <w:lang w:val="zh-CN" w:eastAsia="zh-CN"/>
              </w:rPr>
              <w:t>（</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lang w:val="zh-CN" w:eastAsia="zh-CN"/>
              </w:rPr>
              <w:t>）有针对性；</w:t>
            </w:r>
            <w:r>
              <w:rPr>
                <w:rFonts w:hint="eastAsia" w:ascii="宋体" w:hAnsi="宋体" w:eastAsia="宋体"/>
                <w:color w:val="auto"/>
                <w:szCs w:val="21"/>
                <w:highlight w:val="none"/>
                <w:lang w:eastAsia="zh-CN"/>
              </w:rPr>
              <w:t>1～2</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lang w:eastAsia="zh-CN"/>
              </w:rPr>
              <w:t>分</w:t>
            </w:r>
            <w:r>
              <w:rPr>
                <w:rFonts w:hint="eastAsia" w:ascii="宋体" w:hAnsi="宋体" w:eastAsia="宋体"/>
                <w:color w:val="auto"/>
                <w:szCs w:val="21"/>
                <w:highlight w:val="none"/>
                <w:lang w:val="zh-CN" w:eastAsia="zh-CN"/>
              </w:rPr>
              <w:t>。</w:t>
            </w:r>
          </w:p>
          <w:p>
            <w:pPr>
              <w:pStyle w:val="26"/>
              <w:spacing w:line="360" w:lineRule="auto"/>
              <w:ind w:left="0" w:leftChars="0" w:firstLine="0" w:firstLineChars="0"/>
              <w:rPr>
                <w:rFonts w:ascii="宋体" w:hAnsi="宋体" w:eastAsia="宋体"/>
                <w:color w:val="auto"/>
                <w:highlight w:val="none"/>
                <w:lang w:eastAsia="zh-CN"/>
              </w:rPr>
            </w:pPr>
            <w:r>
              <w:rPr>
                <w:rFonts w:hint="eastAsia" w:ascii="宋体" w:hAnsi="宋体" w:eastAsia="宋体"/>
                <w:color w:val="auto"/>
                <w:highlight w:val="none"/>
                <w:lang w:eastAsia="zh-CN"/>
              </w:rPr>
              <w:t>注：缺项或不符合实际，该项分值为0分。</w:t>
            </w:r>
          </w:p>
        </w:tc>
        <w:tc>
          <w:tcPr>
            <w:tcW w:w="1044" w:type="dxa"/>
            <w:vAlign w:val="center"/>
          </w:tcPr>
          <w:p>
            <w:pPr>
              <w:spacing w:line="360" w:lineRule="auto"/>
              <w:jc w:val="center"/>
              <w:rPr>
                <w:rFonts w:ascii="宋体" w:hAnsi="宋体" w:eastAsia="宋体"/>
                <w:color w:val="auto"/>
                <w:szCs w:val="21"/>
                <w:highlight w:val="none"/>
                <w:lang w:eastAsia="zh-CN"/>
              </w:rPr>
            </w:pPr>
            <w:r>
              <w:rPr>
                <w:rFonts w:hint="eastAsia" w:ascii="宋体" w:hAnsi="宋体" w:eastAsia="宋体"/>
                <w:color w:val="auto"/>
                <w:szCs w:val="21"/>
                <w:highlight w:val="none"/>
                <w:lang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6" w:type="dxa"/>
            <w:vMerge w:val="continue"/>
            <w:vAlign w:val="center"/>
          </w:tcPr>
          <w:p>
            <w:pPr>
              <w:spacing w:line="360" w:lineRule="auto"/>
              <w:jc w:val="center"/>
              <w:rPr>
                <w:rFonts w:ascii="宋体" w:hAnsi="宋体" w:eastAsia="宋体"/>
                <w:b/>
                <w:bCs/>
                <w:color w:val="auto"/>
                <w:szCs w:val="21"/>
                <w:highlight w:val="none"/>
                <w:lang w:eastAsia="zh-CN"/>
              </w:rPr>
            </w:pPr>
          </w:p>
        </w:tc>
        <w:tc>
          <w:tcPr>
            <w:tcW w:w="2340" w:type="dxa"/>
            <w:vAlign w:val="center"/>
          </w:tcPr>
          <w:p>
            <w:pPr>
              <w:spacing w:line="360" w:lineRule="auto"/>
              <w:rPr>
                <w:rFonts w:ascii="宋体" w:hAnsi="宋体" w:eastAsia="宋体"/>
                <w:color w:val="auto"/>
                <w:szCs w:val="21"/>
                <w:highlight w:val="none"/>
                <w:lang w:eastAsia="zh-CN"/>
              </w:rPr>
            </w:pPr>
            <w:r>
              <w:rPr>
                <w:rFonts w:hint="eastAsia" w:ascii="宋体" w:hAnsi="宋体" w:eastAsia="宋体"/>
                <w:color w:val="auto"/>
                <w:szCs w:val="21"/>
                <w:highlight w:val="none"/>
                <w:lang w:eastAsia="zh-CN"/>
              </w:rPr>
              <w:t>技术路线</w:t>
            </w:r>
          </w:p>
        </w:tc>
        <w:tc>
          <w:tcPr>
            <w:tcW w:w="5100" w:type="dxa"/>
            <w:vAlign w:val="center"/>
          </w:tcPr>
          <w:p>
            <w:pPr>
              <w:spacing w:line="360" w:lineRule="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（1）科学合理、重点突出、满足工程要求，得</w:t>
            </w:r>
            <w:r>
              <w:rPr>
                <w:rFonts w:hint="eastAsia" w:ascii="宋体" w:hAnsi="宋体" w:eastAsia="宋体"/>
                <w:color w:val="auto"/>
                <w:szCs w:val="21"/>
                <w:highlight w:val="none"/>
                <w:lang w:val="en-US" w:eastAsia="zh-CN"/>
              </w:rPr>
              <w:t>10</w:t>
            </w:r>
            <w:r>
              <w:rPr>
                <w:rFonts w:hint="eastAsia" w:ascii="宋体" w:hAnsi="宋体" w:eastAsia="宋体"/>
                <w:color w:val="auto"/>
                <w:szCs w:val="21"/>
                <w:highlight w:val="none"/>
                <w:lang w:eastAsia="zh-CN"/>
              </w:rPr>
              <w:t>分；</w:t>
            </w:r>
          </w:p>
          <w:p>
            <w:pPr>
              <w:spacing w:line="360" w:lineRule="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（2）较合理、重点较突出、较满足工程要求，得</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lang w:eastAsia="zh-CN"/>
              </w:rPr>
              <w:t xml:space="preserve">分； </w:t>
            </w:r>
          </w:p>
          <w:p>
            <w:pPr>
              <w:spacing w:line="360" w:lineRule="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（3）基本合理、重点基本突出、基本满足工程要求，得</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lang w:eastAsia="zh-CN"/>
              </w:rPr>
              <w:t>分。</w:t>
            </w:r>
          </w:p>
          <w:p>
            <w:pPr>
              <w:pStyle w:val="26"/>
              <w:spacing w:line="360" w:lineRule="auto"/>
              <w:ind w:firstLine="0" w:firstLineChars="0"/>
              <w:rPr>
                <w:rFonts w:ascii="宋体" w:hAnsi="宋体" w:eastAsia="宋体"/>
                <w:color w:val="auto"/>
                <w:highlight w:val="none"/>
                <w:lang w:eastAsia="zh-CN"/>
              </w:rPr>
            </w:pPr>
            <w:r>
              <w:rPr>
                <w:rFonts w:hint="eastAsia" w:ascii="宋体" w:hAnsi="宋体" w:eastAsia="宋体"/>
                <w:color w:val="auto"/>
                <w:highlight w:val="none"/>
                <w:lang w:eastAsia="zh-CN"/>
              </w:rPr>
              <w:t>（4）不符合技术线路要求0分。</w:t>
            </w:r>
          </w:p>
        </w:tc>
        <w:tc>
          <w:tcPr>
            <w:tcW w:w="1044" w:type="dxa"/>
            <w:vAlign w:val="center"/>
          </w:tcPr>
          <w:p>
            <w:pPr>
              <w:spacing w:line="360" w:lineRule="auto"/>
              <w:jc w:val="center"/>
              <w:rPr>
                <w:rFonts w:ascii="宋体" w:hAnsi="宋体" w:eastAsia="宋体"/>
                <w:color w:val="auto"/>
                <w:szCs w:val="21"/>
                <w:highlight w:val="none"/>
                <w:lang w:eastAsia="zh-CN"/>
              </w:rPr>
            </w:pPr>
            <w:r>
              <w:rPr>
                <w:rFonts w:hint="eastAsia" w:ascii="宋体" w:hAnsi="宋体" w:eastAsia="宋体"/>
                <w:color w:val="auto"/>
                <w:szCs w:val="21"/>
                <w:highlight w:val="none"/>
                <w:lang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6" w:type="dxa"/>
            <w:vMerge w:val="continue"/>
            <w:vAlign w:val="center"/>
          </w:tcPr>
          <w:p>
            <w:pPr>
              <w:spacing w:line="360" w:lineRule="auto"/>
              <w:jc w:val="center"/>
              <w:rPr>
                <w:rFonts w:ascii="宋体" w:hAnsi="宋体" w:eastAsia="宋体"/>
                <w:b/>
                <w:bCs/>
                <w:color w:val="auto"/>
                <w:szCs w:val="21"/>
                <w:highlight w:val="none"/>
                <w:lang w:eastAsia="zh-CN"/>
              </w:rPr>
            </w:pPr>
          </w:p>
        </w:tc>
        <w:tc>
          <w:tcPr>
            <w:tcW w:w="2340" w:type="dxa"/>
            <w:vAlign w:val="center"/>
          </w:tcPr>
          <w:p>
            <w:pPr>
              <w:spacing w:line="360" w:lineRule="auto"/>
              <w:rPr>
                <w:rFonts w:ascii="宋体" w:hAnsi="宋体" w:eastAsia="宋体"/>
                <w:color w:val="auto"/>
                <w:szCs w:val="21"/>
                <w:highlight w:val="none"/>
                <w:lang w:eastAsia="zh-CN"/>
              </w:rPr>
            </w:pPr>
            <w:r>
              <w:rPr>
                <w:rFonts w:hint="eastAsia" w:ascii="宋体" w:hAnsi="宋体" w:eastAsia="宋体"/>
                <w:color w:val="auto"/>
                <w:szCs w:val="21"/>
                <w:highlight w:val="none"/>
              </w:rPr>
              <w:t>进度控制措施</w:t>
            </w:r>
          </w:p>
        </w:tc>
        <w:tc>
          <w:tcPr>
            <w:tcW w:w="5100" w:type="dxa"/>
            <w:vAlign w:val="center"/>
          </w:tcPr>
          <w:p>
            <w:pPr>
              <w:spacing w:line="360" w:lineRule="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（1）内容周到、全面；2分。</w:t>
            </w:r>
          </w:p>
          <w:p>
            <w:pPr>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）程序</w:t>
            </w:r>
            <w:r>
              <w:rPr>
                <w:rFonts w:hint="eastAsia" w:ascii="宋体" w:hAnsi="宋体" w:eastAsia="宋体"/>
                <w:color w:val="auto"/>
                <w:szCs w:val="21"/>
                <w:highlight w:val="none"/>
                <w:lang w:val="zh-CN"/>
              </w:rPr>
              <w:t>合理、可行</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分。</w:t>
            </w:r>
          </w:p>
          <w:p>
            <w:pPr>
              <w:spacing w:line="360" w:lineRule="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（3）措施保证计划合理、可行；2分。</w:t>
            </w:r>
          </w:p>
          <w:p>
            <w:pPr>
              <w:spacing w:line="360" w:lineRule="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（4）人员配备、设备（通讯、交通设备等）配备计划合理、可行；2分。</w:t>
            </w:r>
          </w:p>
          <w:p>
            <w:pPr>
              <w:spacing w:line="360" w:lineRule="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（5）应对措施合理、可行；2分。</w:t>
            </w:r>
          </w:p>
          <w:p>
            <w:pPr>
              <w:pStyle w:val="26"/>
              <w:spacing w:line="360" w:lineRule="auto"/>
              <w:ind w:firstLine="200" w:firstLineChars="100"/>
              <w:rPr>
                <w:rFonts w:ascii="宋体" w:hAnsi="宋体" w:eastAsia="宋体"/>
                <w:color w:val="auto"/>
                <w:highlight w:val="none"/>
                <w:lang w:eastAsia="zh-CN"/>
              </w:rPr>
            </w:pPr>
            <w:r>
              <w:rPr>
                <w:rFonts w:hint="eastAsia" w:ascii="宋体" w:hAnsi="宋体" w:eastAsia="宋体"/>
                <w:color w:val="auto"/>
                <w:highlight w:val="none"/>
                <w:lang w:eastAsia="zh-CN"/>
              </w:rPr>
              <w:t>注：缺项或不符合实际，该项分值为0分。</w:t>
            </w:r>
          </w:p>
        </w:tc>
        <w:tc>
          <w:tcPr>
            <w:tcW w:w="1044" w:type="dxa"/>
            <w:vAlign w:val="center"/>
          </w:tcPr>
          <w:p>
            <w:pPr>
              <w:spacing w:line="360" w:lineRule="auto"/>
              <w:jc w:val="center"/>
              <w:rPr>
                <w:rFonts w:ascii="宋体" w:hAnsi="宋体" w:eastAsia="宋体"/>
                <w:color w:val="auto"/>
                <w:szCs w:val="21"/>
                <w:highlight w:val="none"/>
                <w:lang w:eastAsia="zh-CN"/>
              </w:rPr>
            </w:pPr>
            <w:r>
              <w:rPr>
                <w:rFonts w:hint="eastAsia" w:ascii="宋体" w:hAnsi="宋体" w:eastAsia="宋体"/>
                <w:color w:val="auto"/>
                <w:szCs w:val="21"/>
                <w:highlight w:val="none"/>
                <w:lang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6" w:type="dxa"/>
            <w:vMerge w:val="continue"/>
            <w:vAlign w:val="center"/>
          </w:tcPr>
          <w:p>
            <w:pPr>
              <w:spacing w:line="360" w:lineRule="auto"/>
              <w:jc w:val="center"/>
              <w:rPr>
                <w:rFonts w:ascii="宋体" w:hAnsi="宋体" w:eastAsia="宋体"/>
                <w:b/>
                <w:bCs/>
                <w:color w:val="auto"/>
                <w:szCs w:val="21"/>
                <w:highlight w:val="none"/>
                <w:lang w:eastAsia="zh-CN"/>
              </w:rPr>
            </w:pPr>
          </w:p>
        </w:tc>
        <w:tc>
          <w:tcPr>
            <w:tcW w:w="2340" w:type="dxa"/>
            <w:vAlign w:val="center"/>
          </w:tcPr>
          <w:p>
            <w:pPr>
              <w:spacing w:line="360" w:lineRule="auto"/>
              <w:rPr>
                <w:rFonts w:ascii="宋体" w:hAnsi="宋体" w:eastAsia="宋体"/>
                <w:color w:val="auto"/>
                <w:szCs w:val="21"/>
                <w:highlight w:val="none"/>
                <w:lang w:eastAsia="zh-CN"/>
              </w:rPr>
            </w:pPr>
            <w:r>
              <w:rPr>
                <w:rFonts w:hint="eastAsia" w:ascii="宋体" w:hAnsi="宋体" w:eastAsia="宋体"/>
                <w:color w:val="auto"/>
                <w:szCs w:val="21"/>
                <w:highlight w:val="none"/>
              </w:rPr>
              <w:t>服务承诺</w:t>
            </w:r>
          </w:p>
        </w:tc>
        <w:tc>
          <w:tcPr>
            <w:tcW w:w="5100" w:type="dxa"/>
            <w:vAlign w:val="center"/>
          </w:tcPr>
          <w:p>
            <w:pPr>
              <w:spacing w:line="360" w:lineRule="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综合评价其服务承诺（包含计划服务期承诺、售后服务响应时间、与采购人配合等）等。</w:t>
            </w:r>
          </w:p>
          <w:p>
            <w:pPr>
              <w:spacing w:line="360" w:lineRule="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（1）计划合理；</w:t>
            </w:r>
            <w:r>
              <w:rPr>
                <w:rFonts w:hint="eastAsia" w:ascii="宋体" w:hAnsi="宋体" w:eastAsia="宋体"/>
                <w:color w:val="auto"/>
                <w:szCs w:val="21"/>
                <w:highlight w:val="none"/>
                <w:lang w:val="en-US" w:eastAsia="zh-CN"/>
              </w:rPr>
              <w:t>1-4</w:t>
            </w:r>
            <w:r>
              <w:rPr>
                <w:rFonts w:hint="eastAsia" w:ascii="宋体" w:hAnsi="宋体" w:eastAsia="宋体"/>
                <w:color w:val="auto"/>
                <w:szCs w:val="21"/>
                <w:highlight w:val="none"/>
                <w:lang w:eastAsia="zh-CN"/>
              </w:rPr>
              <w:t>分。</w:t>
            </w:r>
          </w:p>
          <w:p>
            <w:pPr>
              <w:spacing w:line="360" w:lineRule="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（2）计划科学、可行；</w:t>
            </w:r>
            <w:r>
              <w:rPr>
                <w:rFonts w:hint="eastAsia" w:ascii="宋体" w:hAnsi="宋体" w:eastAsia="宋体"/>
                <w:color w:val="auto"/>
                <w:szCs w:val="21"/>
                <w:highlight w:val="none"/>
                <w:lang w:val="en-US" w:eastAsia="zh-CN"/>
              </w:rPr>
              <w:t>1-3</w:t>
            </w:r>
            <w:r>
              <w:rPr>
                <w:rFonts w:hint="eastAsia" w:ascii="宋体" w:hAnsi="宋体" w:eastAsia="宋体"/>
                <w:color w:val="auto"/>
                <w:szCs w:val="21"/>
                <w:highlight w:val="none"/>
                <w:lang w:eastAsia="zh-CN"/>
              </w:rPr>
              <w:t>分。</w:t>
            </w:r>
          </w:p>
          <w:p>
            <w:pPr>
              <w:spacing w:line="360" w:lineRule="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（3）计划具有针对性；</w:t>
            </w:r>
            <w:r>
              <w:rPr>
                <w:rFonts w:hint="eastAsia" w:ascii="宋体" w:hAnsi="宋体" w:eastAsia="宋体"/>
                <w:color w:val="auto"/>
                <w:szCs w:val="21"/>
                <w:highlight w:val="none"/>
                <w:lang w:val="en-US" w:eastAsia="zh-CN"/>
              </w:rPr>
              <w:t>1-3</w:t>
            </w:r>
            <w:r>
              <w:rPr>
                <w:rFonts w:hint="eastAsia" w:ascii="宋体" w:hAnsi="宋体" w:eastAsia="宋体"/>
                <w:color w:val="auto"/>
                <w:szCs w:val="21"/>
                <w:highlight w:val="none"/>
                <w:lang w:eastAsia="zh-CN"/>
              </w:rPr>
              <w:t>分。</w:t>
            </w:r>
          </w:p>
          <w:p>
            <w:pPr>
              <w:spacing w:line="360" w:lineRule="auto"/>
              <w:rPr>
                <w:rFonts w:ascii="宋体" w:hAnsi="宋体" w:eastAsia="宋体"/>
                <w:color w:val="auto"/>
                <w:szCs w:val="21"/>
                <w:highlight w:val="none"/>
                <w:lang w:eastAsia="zh-CN"/>
              </w:rPr>
            </w:pPr>
            <w:r>
              <w:rPr>
                <w:rFonts w:hint="eastAsia" w:ascii="宋体" w:hAnsi="宋体" w:eastAsia="宋体"/>
                <w:color w:val="auto"/>
                <w:szCs w:val="21"/>
                <w:highlight w:val="none"/>
                <w:lang w:eastAsia="zh-CN"/>
              </w:rPr>
              <w:t>注：缺项或不符合实际，该项分值为0分。</w:t>
            </w:r>
          </w:p>
        </w:tc>
        <w:tc>
          <w:tcPr>
            <w:tcW w:w="1044" w:type="dxa"/>
            <w:vAlign w:val="center"/>
          </w:tcPr>
          <w:p>
            <w:pPr>
              <w:spacing w:line="360" w:lineRule="auto"/>
              <w:jc w:val="center"/>
              <w:rPr>
                <w:rFonts w:ascii="宋体" w:hAnsi="宋体" w:eastAsia="宋体"/>
                <w:color w:val="auto"/>
                <w:szCs w:val="21"/>
                <w:highlight w:val="none"/>
                <w:lang w:eastAsia="zh-CN"/>
              </w:rPr>
            </w:pPr>
            <w:r>
              <w:rPr>
                <w:rFonts w:hint="eastAsia" w:ascii="宋体" w:hAnsi="宋体" w:eastAsia="宋体"/>
                <w:color w:val="auto"/>
                <w:szCs w:val="21"/>
                <w:highlight w:val="none"/>
                <w:lang w:eastAsia="zh-CN"/>
              </w:rPr>
              <w:t>10分</w:t>
            </w:r>
          </w:p>
        </w:tc>
      </w:tr>
    </w:tbl>
    <w:p>
      <w:pPr>
        <w:jc w:val="center"/>
        <w:textAlignment w:val="bottom"/>
        <w:outlineLvl w:val="0"/>
        <w:rPr>
          <w:rFonts w:ascii="宋体" w:hAnsi="宋体" w:eastAsia="宋体"/>
          <w:b/>
          <w:bCs/>
          <w:color w:val="auto"/>
          <w:sz w:val="36"/>
          <w:szCs w:val="36"/>
          <w:highlight w:val="none"/>
          <w:lang w:eastAsia="zh-CN"/>
        </w:rPr>
      </w:pPr>
      <w:r>
        <w:rPr>
          <w:rFonts w:hint="eastAsia" w:ascii="宋体" w:hAnsi="宋体" w:eastAsia="宋体"/>
          <w:b/>
          <w:bCs/>
          <w:color w:val="auto"/>
          <w:sz w:val="36"/>
          <w:szCs w:val="36"/>
          <w:highlight w:val="none"/>
          <w:lang w:eastAsia="zh-CN"/>
        </w:rPr>
        <w:br w:type="page"/>
      </w:r>
      <w:r>
        <w:rPr>
          <w:rFonts w:hint="eastAsia" w:ascii="宋体" w:hAnsi="宋体" w:eastAsia="宋体"/>
          <w:b/>
          <w:bCs/>
          <w:color w:val="auto"/>
          <w:sz w:val="36"/>
          <w:szCs w:val="36"/>
          <w:highlight w:val="none"/>
          <w:lang w:eastAsia="zh-CN"/>
        </w:rPr>
        <w:t>第六部分</w:t>
      </w:r>
      <w:r>
        <w:rPr>
          <w:rFonts w:hint="eastAsia" w:ascii="宋体" w:hAnsi="宋体" w:eastAsia="宋体"/>
          <w:b/>
          <w:bCs/>
          <w:color w:val="auto"/>
          <w:sz w:val="36"/>
          <w:szCs w:val="36"/>
          <w:highlight w:val="none"/>
        </w:rPr>
        <w:t>合同</w:t>
      </w:r>
      <w:r>
        <w:rPr>
          <w:rFonts w:hint="eastAsia" w:ascii="宋体" w:hAnsi="宋体" w:eastAsia="宋体"/>
          <w:b/>
          <w:bCs/>
          <w:color w:val="auto"/>
          <w:sz w:val="36"/>
          <w:szCs w:val="36"/>
          <w:highlight w:val="none"/>
          <w:lang w:eastAsia="zh-CN"/>
        </w:rPr>
        <w:t>（样本）</w:t>
      </w:r>
      <w:bookmarkEnd w:id="39"/>
      <w:bookmarkEnd w:id="40"/>
      <w:bookmarkStart w:id="53" w:name="_Toc463011691"/>
      <w:bookmarkStart w:id="54" w:name="_Toc7064"/>
    </w:p>
    <w:p>
      <w:pPr>
        <w:jc w:val="center"/>
        <w:textAlignment w:val="bottom"/>
        <w:outlineLvl w:val="0"/>
        <w:rPr>
          <w:rFonts w:hAnsi="宋体" w:eastAsia="宋体"/>
          <w:color w:val="auto"/>
          <w:kern w:val="2"/>
          <w:sz w:val="21"/>
          <w:highlight w:val="none"/>
          <w:lang w:eastAsia="zh-CN"/>
        </w:rPr>
      </w:pPr>
      <w:r>
        <w:rPr>
          <w:rFonts w:hint="eastAsia" w:hAnsi="宋体" w:eastAsia="宋体"/>
          <w:color w:val="auto"/>
          <w:kern w:val="2"/>
          <w:sz w:val="21"/>
          <w:highlight w:val="none"/>
          <w:lang w:eastAsia="zh-CN"/>
        </w:rPr>
        <w:t>合同条款</w:t>
      </w:r>
      <w:bookmarkEnd w:id="53"/>
      <w:bookmarkEnd w:id="54"/>
    </w:p>
    <w:p>
      <w:pPr>
        <w:ind w:firstLine="422" w:firstLineChars="200"/>
        <w:rPr>
          <w:rFonts w:ascii="宋体" w:hAnsi="宋体" w:eastAsia="宋体"/>
          <w:b/>
          <w:bCs/>
          <w:color w:val="auto"/>
          <w:kern w:val="2"/>
          <w:sz w:val="21"/>
          <w:szCs w:val="21"/>
          <w:highlight w:val="none"/>
          <w:lang w:eastAsia="zh-CN"/>
        </w:rPr>
      </w:pPr>
      <w:r>
        <w:rPr>
          <w:rFonts w:hint="eastAsia" w:ascii="宋体" w:hAnsi="宋体" w:eastAsia="宋体"/>
          <w:b/>
          <w:bCs/>
          <w:color w:val="auto"/>
          <w:kern w:val="2"/>
          <w:sz w:val="21"/>
          <w:szCs w:val="21"/>
          <w:highlight w:val="none"/>
          <w:lang w:eastAsia="zh-CN"/>
        </w:rPr>
        <w:t>甲方（全称）：</w:t>
      </w:r>
      <w:r>
        <w:rPr>
          <w:rFonts w:hint="eastAsia" w:ascii="宋体" w:hAnsi="宋体" w:eastAsia="宋体"/>
          <w:b/>
          <w:bCs/>
          <w:color w:val="auto"/>
          <w:kern w:val="2"/>
          <w:sz w:val="21"/>
          <w:szCs w:val="21"/>
          <w:highlight w:val="none"/>
          <w:u w:val="single"/>
          <w:lang w:eastAsia="zh-CN"/>
        </w:rPr>
        <w:t xml:space="preserve">                </w:t>
      </w:r>
      <w:r>
        <w:rPr>
          <w:rFonts w:hint="eastAsia" w:ascii="宋体" w:hAnsi="宋体" w:eastAsia="宋体"/>
          <w:b/>
          <w:bCs/>
          <w:color w:val="auto"/>
          <w:kern w:val="2"/>
          <w:sz w:val="21"/>
          <w:szCs w:val="21"/>
          <w:highlight w:val="none"/>
          <w:lang w:eastAsia="zh-CN"/>
        </w:rPr>
        <w:t xml:space="preserve">       </w:t>
      </w:r>
    </w:p>
    <w:p>
      <w:pPr>
        <w:ind w:firstLine="422" w:firstLineChars="200"/>
        <w:rPr>
          <w:rFonts w:ascii="宋体" w:hAnsi="宋体" w:eastAsia="宋体"/>
          <w:color w:val="auto"/>
          <w:kern w:val="2"/>
          <w:sz w:val="21"/>
          <w:szCs w:val="21"/>
          <w:highlight w:val="none"/>
          <w:lang w:eastAsia="zh-CN"/>
        </w:rPr>
      </w:pPr>
      <w:r>
        <w:rPr>
          <w:rFonts w:hint="eastAsia" w:ascii="宋体" w:hAnsi="宋体" w:eastAsia="宋体"/>
          <w:b/>
          <w:bCs/>
          <w:color w:val="auto"/>
          <w:kern w:val="2"/>
          <w:sz w:val="21"/>
          <w:szCs w:val="21"/>
          <w:highlight w:val="none"/>
          <w:lang w:eastAsia="zh-CN"/>
        </w:rPr>
        <w:t>乙方（全称）：</w:t>
      </w:r>
      <w:r>
        <w:rPr>
          <w:rFonts w:hint="eastAsia" w:ascii="宋体" w:hAnsi="宋体" w:eastAsia="宋体"/>
          <w:b/>
          <w:bCs/>
          <w:color w:val="auto"/>
          <w:kern w:val="2"/>
          <w:sz w:val="21"/>
          <w:szCs w:val="21"/>
          <w:highlight w:val="none"/>
          <w:u w:val="single"/>
          <w:lang w:eastAsia="zh-CN"/>
        </w:rPr>
        <w:t>              </w:t>
      </w:r>
      <w:r>
        <w:rPr>
          <w:rFonts w:hint="eastAsia" w:ascii="宋体" w:hAnsi="宋体" w:eastAsia="宋体"/>
          <w:color w:val="auto"/>
          <w:kern w:val="2"/>
          <w:sz w:val="21"/>
          <w:szCs w:val="21"/>
          <w:highlight w:val="none"/>
          <w:lang w:eastAsia="zh-CN"/>
        </w:rPr>
        <w:t xml:space="preserve">     </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根据《中华人民共和国合同法》及有关法律规定，遵循平等、自愿、公平和诚实信用的原则，双方就 项目及有关事项协商一致，共同达成如下协议：</w:t>
      </w:r>
    </w:p>
    <w:p>
      <w:pPr>
        <w:numPr>
          <w:ilvl w:val="0"/>
          <w:numId w:val="1"/>
        </w:numPr>
        <w:tabs>
          <w:tab w:val="left" w:pos="0"/>
          <w:tab w:val="clear" w:pos="720"/>
        </w:tabs>
        <w:ind w:left="0" w:firstLine="422" w:firstLineChars="200"/>
        <w:rPr>
          <w:rFonts w:ascii="宋体" w:hAnsi="宋体" w:eastAsia="宋体"/>
          <w:b/>
          <w:bCs/>
          <w:color w:val="auto"/>
          <w:kern w:val="2"/>
          <w:sz w:val="21"/>
          <w:szCs w:val="21"/>
          <w:highlight w:val="none"/>
          <w:lang w:eastAsia="zh-CN"/>
        </w:rPr>
      </w:pPr>
      <w:bookmarkStart w:id="55" w:name="_Toc9340"/>
      <w:r>
        <w:rPr>
          <w:rFonts w:hint="eastAsia" w:ascii="宋体" w:hAnsi="宋体" w:eastAsia="宋体"/>
          <w:b/>
          <w:bCs/>
          <w:color w:val="auto"/>
          <w:kern w:val="2"/>
          <w:sz w:val="21"/>
          <w:szCs w:val="21"/>
          <w:highlight w:val="none"/>
          <w:lang w:eastAsia="zh-CN"/>
        </w:rPr>
        <w:t>合同文件</w:t>
      </w:r>
      <w:bookmarkEnd w:id="55"/>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下列与本次采购活动有关的文件及附件是本合同不可分割的组成部分，与本合同具有同等法律效力，这些文件包括但不限于：</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1.（××号）招标采购文件</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2.投标文件</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3.乙方在投标时的书面承诺</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4.（××号）中标通知书</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5.合同补充条款或说明</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6.保密协议或条款</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7.相关附件、图纸及电子版资料</w:t>
      </w:r>
    </w:p>
    <w:p>
      <w:pPr>
        <w:ind w:firstLine="422" w:firstLineChars="200"/>
        <w:rPr>
          <w:rFonts w:ascii="宋体" w:hAnsi="宋体" w:eastAsia="宋体"/>
          <w:b/>
          <w:bCs/>
          <w:color w:val="auto"/>
          <w:kern w:val="2"/>
          <w:sz w:val="21"/>
          <w:szCs w:val="21"/>
          <w:highlight w:val="none"/>
          <w:lang w:eastAsia="zh-CN"/>
        </w:rPr>
      </w:pPr>
      <w:bookmarkStart w:id="56" w:name="_Toc32087"/>
      <w:r>
        <w:rPr>
          <w:rFonts w:hint="eastAsia" w:ascii="宋体" w:hAnsi="宋体" w:eastAsia="宋体"/>
          <w:b/>
          <w:bCs/>
          <w:color w:val="auto"/>
          <w:kern w:val="2"/>
          <w:sz w:val="21"/>
          <w:szCs w:val="21"/>
          <w:highlight w:val="none"/>
          <w:lang w:eastAsia="zh-CN"/>
        </w:rPr>
        <w:t>第二条  合同内容</w:t>
      </w:r>
      <w:bookmarkEnd w:id="56"/>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 xml:space="preserve">服务名称：详见合同附件中《服务明细一览表》  </w:t>
      </w:r>
    </w:p>
    <w:p>
      <w:pPr>
        <w:ind w:firstLine="422" w:firstLineChars="200"/>
        <w:rPr>
          <w:rFonts w:ascii="宋体" w:hAnsi="宋体" w:eastAsia="宋体"/>
          <w:b/>
          <w:bCs/>
          <w:color w:val="auto"/>
          <w:kern w:val="2"/>
          <w:sz w:val="21"/>
          <w:szCs w:val="21"/>
          <w:highlight w:val="none"/>
          <w:lang w:eastAsia="zh-CN"/>
        </w:rPr>
      </w:pPr>
      <w:bookmarkStart w:id="57" w:name="_Toc31774"/>
      <w:r>
        <w:rPr>
          <w:rFonts w:hint="eastAsia" w:ascii="宋体" w:hAnsi="宋体" w:eastAsia="宋体"/>
          <w:b/>
          <w:bCs/>
          <w:color w:val="auto"/>
          <w:kern w:val="2"/>
          <w:sz w:val="21"/>
          <w:szCs w:val="21"/>
          <w:highlight w:val="none"/>
          <w:lang w:eastAsia="zh-CN"/>
        </w:rPr>
        <w:t>第三条  合同总价款</w:t>
      </w:r>
      <w:bookmarkEnd w:id="57"/>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1.本合同服务总价款：￥ 元。</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大写：  元。</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2.分项价款在《服务一览表》中有明确规定。</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3.本合同总价款包括服务期间必须的日常物料、易耗品、工具、调试费、培训费等相关费用。</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4.本合同执行期内因工作量变化而引起的服务费用的变动，在双方事先协商一致的前提下签订补充合同，但因此而增加的服务费用不得超过原中标金额的10%。</w:t>
      </w:r>
    </w:p>
    <w:p>
      <w:pPr>
        <w:ind w:firstLine="422" w:firstLineChars="200"/>
        <w:rPr>
          <w:rFonts w:ascii="宋体" w:hAnsi="宋体" w:eastAsia="宋体"/>
          <w:b/>
          <w:bCs/>
          <w:color w:val="auto"/>
          <w:kern w:val="2"/>
          <w:sz w:val="21"/>
          <w:szCs w:val="21"/>
          <w:highlight w:val="none"/>
          <w:lang w:eastAsia="zh-CN"/>
        </w:rPr>
      </w:pPr>
      <w:bookmarkStart w:id="58" w:name="_Toc30708"/>
      <w:r>
        <w:rPr>
          <w:rFonts w:hint="eastAsia" w:ascii="宋体" w:hAnsi="宋体" w:eastAsia="宋体"/>
          <w:b/>
          <w:bCs/>
          <w:color w:val="auto"/>
          <w:kern w:val="2"/>
          <w:sz w:val="21"/>
          <w:szCs w:val="21"/>
          <w:highlight w:val="none"/>
          <w:lang w:eastAsia="zh-CN"/>
        </w:rPr>
        <w:t>第四条  双方一般权利和义务</w:t>
      </w:r>
      <w:bookmarkEnd w:id="58"/>
    </w:p>
    <w:p>
      <w:pPr>
        <w:ind w:firstLine="420" w:firstLineChars="200"/>
        <w:rPr>
          <w:rFonts w:ascii="宋体" w:hAnsi="宋体" w:eastAsia="宋体"/>
          <w:color w:val="auto"/>
          <w:kern w:val="2"/>
          <w:sz w:val="21"/>
          <w:szCs w:val="21"/>
          <w:highlight w:val="none"/>
          <w:lang w:eastAsia="zh-CN"/>
        </w:rPr>
      </w:pPr>
      <w:bookmarkStart w:id="59" w:name="_Toc8034"/>
      <w:r>
        <w:rPr>
          <w:rFonts w:hint="eastAsia" w:ascii="宋体" w:hAnsi="宋体" w:eastAsia="宋体"/>
          <w:color w:val="auto"/>
          <w:kern w:val="2"/>
          <w:sz w:val="21"/>
          <w:szCs w:val="21"/>
          <w:highlight w:val="none"/>
          <w:lang w:eastAsia="zh-CN"/>
        </w:rPr>
        <w:t>1.甲方的义务</w:t>
      </w:r>
      <w:bookmarkEnd w:id="59"/>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 xml:space="preserve"> 1.1 委托工作的具体范围和内容：                          ;</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1.2 甲方应按约定的时间和要求完成下列工作：</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（1）向乙方提供保证履行合同所需的全部资料的时间：合同签订后   个工作日内 。</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2）向乙方提供保证履行合同顺利完成的条件：对乙方工作给予支持，提供水、电、场地等必须的基础工作条件，如乙方有需要，还应提供履行合同所必需的有关图纸、数据、资料等。没有甲方事先同意，乙方不得将甲方资料提供给与履行本合同无关的任何其他人。即使向履行本合同有关的人员提供，也应注意保密并限于履行合同的必需范围内。</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（3）需要与第三方协调的工作：无 。</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1.3 甲方有义务保守履约合同过程中有关的商业秘密。</w:t>
      </w:r>
    </w:p>
    <w:p>
      <w:pPr>
        <w:ind w:firstLine="420" w:firstLineChars="200"/>
        <w:rPr>
          <w:rFonts w:ascii="宋体" w:hAnsi="宋体" w:eastAsia="宋体"/>
          <w:color w:val="auto"/>
          <w:kern w:val="2"/>
          <w:sz w:val="21"/>
          <w:szCs w:val="21"/>
          <w:highlight w:val="none"/>
          <w:lang w:eastAsia="zh-CN"/>
        </w:rPr>
      </w:pPr>
      <w:bookmarkStart w:id="60" w:name="_Toc3573"/>
      <w:r>
        <w:rPr>
          <w:rFonts w:hint="eastAsia" w:ascii="宋体" w:hAnsi="宋体" w:eastAsia="宋体"/>
          <w:color w:val="auto"/>
          <w:kern w:val="2"/>
          <w:sz w:val="21"/>
          <w:szCs w:val="21"/>
          <w:highlight w:val="none"/>
          <w:lang w:eastAsia="zh-CN"/>
        </w:rPr>
        <w:t>2.乙方的义务</w:t>
      </w:r>
      <w:bookmarkEnd w:id="60"/>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2.1 乙方应按约定的时间和要求完全下列工作：</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（1）保证履行合同的内容和时间： 。</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（2）为甲方提供的为保证履行合同的相关咨询服务： 。</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（3）应尽的其他义务： 。</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2.2乙方有义务保守履约合同过程中有关的商业秘密。</w:t>
      </w:r>
    </w:p>
    <w:p>
      <w:pPr>
        <w:ind w:firstLine="420" w:firstLineChars="200"/>
        <w:rPr>
          <w:rFonts w:ascii="宋体" w:hAnsi="宋体" w:eastAsia="宋体"/>
          <w:color w:val="auto"/>
          <w:kern w:val="2"/>
          <w:sz w:val="21"/>
          <w:szCs w:val="21"/>
          <w:highlight w:val="none"/>
          <w:lang w:eastAsia="zh-CN"/>
        </w:rPr>
      </w:pPr>
      <w:bookmarkStart w:id="61" w:name="_Toc12954"/>
      <w:r>
        <w:rPr>
          <w:rFonts w:hint="eastAsia" w:ascii="宋体" w:hAnsi="宋体" w:eastAsia="宋体"/>
          <w:color w:val="auto"/>
          <w:kern w:val="2"/>
          <w:sz w:val="21"/>
          <w:szCs w:val="21"/>
          <w:highlight w:val="none"/>
          <w:lang w:eastAsia="zh-CN"/>
        </w:rPr>
        <w:t>3. 甲方的权利</w:t>
      </w:r>
      <w:bookmarkEnd w:id="61"/>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3.1 按合同约定，接收项目成果；</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3.2 向乙方询问履行合同工作进展情况和相关内容或提出不违反法律、行政法规的建议；</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3.3与乙方协商，建议更换其不称职的工作人员；</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3.4本合同履行期间，由于乙方不履行合同约定的内容，给甲方造成损失或影响工作正常进行的，甲方有权终止本合同，并依法向乙方追索经济赔偿，直至追究法律责任；</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3.5 甲方有权利对乙方在合同履行期间的行为进行监督。</w:t>
      </w:r>
    </w:p>
    <w:p>
      <w:pPr>
        <w:ind w:firstLine="420" w:firstLineChars="200"/>
        <w:rPr>
          <w:rFonts w:ascii="宋体" w:hAnsi="宋体" w:eastAsia="宋体"/>
          <w:color w:val="auto"/>
          <w:kern w:val="2"/>
          <w:sz w:val="21"/>
          <w:szCs w:val="21"/>
          <w:highlight w:val="none"/>
          <w:lang w:eastAsia="zh-CN"/>
        </w:rPr>
      </w:pPr>
      <w:bookmarkStart w:id="62" w:name="_Toc22207"/>
      <w:r>
        <w:rPr>
          <w:rFonts w:hint="eastAsia" w:ascii="宋体" w:hAnsi="宋体" w:eastAsia="宋体"/>
          <w:color w:val="auto"/>
          <w:kern w:val="2"/>
          <w:sz w:val="21"/>
          <w:szCs w:val="21"/>
          <w:highlight w:val="none"/>
          <w:lang w:eastAsia="zh-CN"/>
        </w:rPr>
        <w:t>4. 乙方的权利</w:t>
      </w:r>
      <w:bookmarkEnd w:id="62"/>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4.1按合同约定收取报酬；</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4.2对履行合同中应由甲方做出的决定，乙方有权提出建议；</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4.3当甲方提供的资料不足或不明确时，有权要求甲方补足资料或作出明确的答复；</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4.4拒绝甲方提出的违反法律、行政法规的要求，并向甲方作出解释。</w:t>
      </w:r>
    </w:p>
    <w:p>
      <w:pPr>
        <w:ind w:firstLine="422" w:firstLineChars="200"/>
        <w:rPr>
          <w:rFonts w:ascii="宋体" w:hAnsi="宋体" w:eastAsia="宋体"/>
          <w:b/>
          <w:bCs/>
          <w:color w:val="auto"/>
          <w:kern w:val="2"/>
          <w:sz w:val="21"/>
          <w:szCs w:val="21"/>
          <w:highlight w:val="none"/>
          <w:lang w:eastAsia="zh-CN"/>
        </w:rPr>
      </w:pPr>
      <w:bookmarkStart w:id="63" w:name="_Toc19077"/>
      <w:r>
        <w:rPr>
          <w:rFonts w:hint="eastAsia" w:ascii="宋体" w:hAnsi="宋体" w:eastAsia="宋体"/>
          <w:b/>
          <w:bCs/>
          <w:color w:val="auto"/>
          <w:kern w:val="2"/>
          <w:sz w:val="21"/>
          <w:szCs w:val="21"/>
          <w:highlight w:val="none"/>
          <w:lang w:eastAsia="zh-CN"/>
        </w:rPr>
        <w:t>第五条  质量保证</w:t>
      </w:r>
      <w:bookmarkEnd w:id="63"/>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乙方保证服务不存在危及人身及财产安全的隐患，不存在违反国家法规、法令、法律以及行业规范所要求的有关安全条款，否则应承担全部法律责任。保证所提供的服务或其任何一部分均不会侵犯任何第三方的专利权、商标权或著作权。一旦出现侵权，索赔或诉讼，乙方应承担全部责任。</w:t>
      </w:r>
    </w:p>
    <w:p>
      <w:pPr>
        <w:ind w:firstLine="422" w:firstLineChars="200"/>
        <w:rPr>
          <w:rFonts w:ascii="宋体" w:hAnsi="宋体" w:eastAsia="宋体"/>
          <w:b/>
          <w:bCs/>
          <w:color w:val="auto"/>
          <w:kern w:val="2"/>
          <w:sz w:val="21"/>
          <w:szCs w:val="21"/>
          <w:highlight w:val="none"/>
          <w:lang w:eastAsia="zh-CN"/>
        </w:rPr>
      </w:pPr>
      <w:bookmarkStart w:id="64" w:name="_Toc19262"/>
      <w:r>
        <w:rPr>
          <w:rFonts w:hint="eastAsia" w:ascii="宋体" w:hAnsi="宋体" w:eastAsia="宋体"/>
          <w:b/>
          <w:bCs/>
          <w:color w:val="auto"/>
          <w:kern w:val="2"/>
          <w:sz w:val="21"/>
          <w:szCs w:val="21"/>
          <w:highlight w:val="none"/>
          <w:lang w:eastAsia="zh-CN"/>
        </w:rPr>
        <w:t>第六条  付款方式</w:t>
      </w:r>
      <w:bookmarkEnd w:id="64"/>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1.本合同项下所有款项均以人民币支付。</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2.乙方向甲方提交下列文件材料，经甲方审核无误后支付采购价款：</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（1）经甲方确认的发票；</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（2）其他材料。</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3.款项的支付进度以招标采购文件的有关规定为准。如招标采购文件未作特别规定，则付款进度按如下约定履行：</w:t>
      </w:r>
    </w:p>
    <w:p>
      <w:pPr>
        <w:ind w:firstLine="420" w:firstLineChars="200"/>
        <w:rPr>
          <w:rFonts w:ascii="宋体" w:hAnsi="宋体" w:eastAsia="宋体"/>
          <w:color w:val="auto"/>
          <w:kern w:val="2"/>
          <w:sz w:val="21"/>
          <w:szCs w:val="21"/>
          <w:highlight w:val="none"/>
          <w:lang w:eastAsia="zh-CN"/>
        </w:rPr>
      </w:pPr>
      <w:r>
        <w:rPr>
          <w:rFonts w:ascii="宋体" w:hAnsi="宋体" w:eastAsia="宋体"/>
          <w:color w:val="auto"/>
          <w:kern w:val="2"/>
          <w:sz w:val="21"/>
          <w:szCs w:val="21"/>
          <w:highlight w:val="none"/>
          <w:lang w:eastAsia="zh-CN"/>
        </w:rPr>
        <w:t>合同签订后，付款40%，成果文件制作完成，付款40%，提交最终成果后付款剩余20%。</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根据财政部、工信部关于印发《政府采购促进中小企业发展暂行办法》的通知（财库〔2011〕181号），××银行（或××非银行金融机构）同意向乙方提供关于本项目的贷款（附《借款合同》），经甲方审核无误后，甲方同意按照本合同的约定和乙方履约进度将采购资金支付至××银行（或××非银行金融机构）与乙方共同确认的收款账户：</w:t>
      </w:r>
    </w:p>
    <w:p>
      <w:pPr>
        <w:ind w:firstLine="420" w:firstLineChars="200"/>
        <w:rPr>
          <w:rFonts w:ascii="宋体" w:hAnsi="宋体" w:eastAsia="宋体"/>
          <w:color w:val="auto"/>
          <w:kern w:val="2"/>
          <w:sz w:val="21"/>
          <w:szCs w:val="21"/>
          <w:highlight w:val="none"/>
          <w:u w:val="single"/>
          <w:lang w:eastAsia="zh-CN"/>
        </w:rPr>
      </w:pPr>
      <w:r>
        <w:rPr>
          <w:rFonts w:hint="eastAsia" w:ascii="宋体" w:hAnsi="宋体" w:eastAsia="宋体"/>
          <w:color w:val="auto"/>
          <w:kern w:val="2"/>
          <w:sz w:val="21"/>
          <w:szCs w:val="21"/>
          <w:highlight w:val="none"/>
          <w:lang w:eastAsia="zh-CN"/>
        </w:rPr>
        <w:t>户名：</w:t>
      </w:r>
    </w:p>
    <w:p>
      <w:pPr>
        <w:ind w:firstLine="420" w:firstLineChars="200"/>
        <w:rPr>
          <w:rFonts w:ascii="宋体" w:hAnsi="宋体" w:eastAsia="宋体"/>
          <w:color w:val="auto"/>
          <w:kern w:val="2"/>
          <w:sz w:val="21"/>
          <w:szCs w:val="21"/>
          <w:highlight w:val="none"/>
          <w:u w:val="single"/>
          <w:lang w:eastAsia="zh-CN"/>
        </w:rPr>
      </w:pPr>
      <w:r>
        <w:rPr>
          <w:rFonts w:hint="eastAsia" w:ascii="宋体" w:hAnsi="宋体" w:eastAsia="宋体"/>
          <w:color w:val="auto"/>
          <w:kern w:val="2"/>
          <w:sz w:val="21"/>
          <w:szCs w:val="21"/>
          <w:highlight w:val="none"/>
          <w:lang w:eastAsia="zh-CN"/>
        </w:rPr>
        <w:t>开户行：</w:t>
      </w:r>
    </w:p>
    <w:p>
      <w:pPr>
        <w:ind w:firstLine="420" w:firstLineChars="200"/>
        <w:rPr>
          <w:rFonts w:ascii="宋体" w:hAnsi="宋体" w:eastAsia="宋体"/>
          <w:color w:val="auto"/>
          <w:kern w:val="2"/>
          <w:sz w:val="21"/>
          <w:szCs w:val="21"/>
          <w:highlight w:val="none"/>
          <w:u w:val="single"/>
          <w:lang w:eastAsia="zh-CN"/>
        </w:rPr>
      </w:pPr>
      <w:r>
        <w:rPr>
          <w:rFonts w:hint="eastAsia" w:ascii="宋体" w:hAnsi="宋体" w:eastAsia="宋体"/>
          <w:color w:val="auto"/>
          <w:kern w:val="2"/>
          <w:sz w:val="21"/>
          <w:szCs w:val="21"/>
          <w:highlight w:val="none"/>
          <w:lang w:eastAsia="zh-CN"/>
        </w:rPr>
        <w:t>账号：</w:t>
      </w:r>
    </w:p>
    <w:p>
      <w:pPr>
        <w:ind w:firstLine="422" w:firstLineChars="200"/>
        <w:rPr>
          <w:rFonts w:ascii="宋体" w:hAnsi="宋体" w:eastAsia="宋体"/>
          <w:b/>
          <w:bCs/>
          <w:color w:val="auto"/>
          <w:kern w:val="2"/>
          <w:sz w:val="21"/>
          <w:szCs w:val="21"/>
          <w:highlight w:val="none"/>
          <w:lang w:eastAsia="zh-CN"/>
        </w:rPr>
      </w:pPr>
      <w:bookmarkStart w:id="65" w:name="_Toc32486"/>
      <w:r>
        <w:rPr>
          <w:rFonts w:hint="eastAsia" w:ascii="宋体" w:hAnsi="宋体" w:eastAsia="宋体"/>
          <w:b/>
          <w:bCs/>
          <w:color w:val="auto"/>
          <w:kern w:val="2"/>
          <w:sz w:val="21"/>
          <w:szCs w:val="21"/>
          <w:highlight w:val="none"/>
          <w:lang w:eastAsia="zh-CN"/>
        </w:rPr>
        <w:t>第七条  履约保证金</w:t>
      </w:r>
      <w:bookmarkEnd w:id="65"/>
      <w:r>
        <w:rPr>
          <w:rFonts w:hint="eastAsia" w:ascii="宋体" w:hAnsi="宋体" w:eastAsia="宋体"/>
          <w:b/>
          <w:bCs/>
          <w:color w:val="auto"/>
          <w:kern w:val="2"/>
          <w:sz w:val="21"/>
          <w:szCs w:val="21"/>
          <w:highlight w:val="none"/>
          <w:lang w:eastAsia="zh-CN"/>
        </w:rPr>
        <w:t>(前如有)</w:t>
      </w:r>
    </w:p>
    <w:p>
      <w:pPr>
        <w:ind w:firstLine="422" w:firstLineChars="200"/>
        <w:rPr>
          <w:rFonts w:ascii="宋体" w:hAnsi="宋体" w:eastAsia="宋体"/>
          <w:b/>
          <w:bCs/>
          <w:color w:val="auto"/>
          <w:kern w:val="2"/>
          <w:sz w:val="21"/>
          <w:szCs w:val="21"/>
          <w:highlight w:val="none"/>
          <w:lang w:eastAsia="zh-CN"/>
        </w:rPr>
      </w:pPr>
      <w:bookmarkStart w:id="66" w:name="_Toc9381"/>
      <w:r>
        <w:rPr>
          <w:rFonts w:hint="eastAsia" w:ascii="宋体" w:hAnsi="宋体" w:eastAsia="宋体"/>
          <w:b/>
          <w:bCs/>
          <w:color w:val="auto"/>
          <w:kern w:val="2"/>
          <w:sz w:val="21"/>
          <w:szCs w:val="21"/>
          <w:highlight w:val="none"/>
          <w:lang w:eastAsia="zh-CN"/>
        </w:rPr>
        <w:t>第八条  验收</w:t>
      </w:r>
      <w:bookmarkEnd w:id="66"/>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1.服务期限：   至 。</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服务地点：。</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验收时间： 。</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验收地点： 。</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2. 乙方应对提供的服务成果作出全面自查和整理，并列出清单，作为甲方验收和使用的服务条件依据，清单应随提供的服务成果交给甲方。</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3.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告》。在经过两次限期整改后，服务仍达不到合同文件规定内容的，甲方有权拒收，并可以解除合同；由此引起甲方损失及赔偿责任由乙方承担。</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4.甲方可以视项目规模或复杂情况聘请专业人员参与验收，大型或复杂项目，以及涉及专业服务内容的应当邀请国家认可的第三方质量检测机构参与验收。</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5.如根据项目实施情况需要分阶段验收，则双方分阶段签署《验收报告》。</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6.如果合同双方对《验收报告》有分歧，双方须于出现分歧后天内给对方书面声明，以陈述己方的理由及要求，并附有关证据。分歧应通过协商解决。</w:t>
      </w:r>
    </w:p>
    <w:p>
      <w:pPr>
        <w:ind w:firstLine="422" w:firstLineChars="200"/>
        <w:rPr>
          <w:rFonts w:ascii="宋体" w:hAnsi="宋体" w:eastAsia="宋体"/>
          <w:b/>
          <w:bCs/>
          <w:color w:val="auto"/>
          <w:kern w:val="2"/>
          <w:sz w:val="21"/>
          <w:szCs w:val="21"/>
          <w:highlight w:val="none"/>
          <w:lang w:eastAsia="zh-CN"/>
        </w:rPr>
      </w:pPr>
      <w:bookmarkStart w:id="67" w:name="_Toc2737"/>
      <w:r>
        <w:rPr>
          <w:rFonts w:hint="eastAsia" w:ascii="宋体" w:hAnsi="宋体" w:eastAsia="宋体"/>
          <w:b/>
          <w:bCs/>
          <w:color w:val="auto"/>
          <w:kern w:val="2"/>
          <w:sz w:val="21"/>
          <w:szCs w:val="21"/>
          <w:highlight w:val="none"/>
          <w:lang w:eastAsia="zh-CN"/>
        </w:rPr>
        <w:t>第九条  项目管理服务</w:t>
      </w:r>
      <w:bookmarkEnd w:id="67"/>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乙方要指定不少于一人全权全程负责本项目服务的落实，包括服务的咨询、执行和后续工作。</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项目负责人姓名： ； 联系电话： 。</w:t>
      </w:r>
    </w:p>
    <w:p>
      <w:pPr>
        <w:ind w:firstLine="422" w:firstLineChars="200"/>
        <w:rPr>
          <w:rFonts w:ascii="宋体" w:hAnsi="宋体" w:eastAsia="宋体"/>
          <w:b/>
          <w:bCs/>
          <w:color w:val="auto"/>
          <w:kern w:val="2"/>
          <w:sz w:val="21"/>
          <w:szCs w:val="21"/>
          <w:highlight w:val="none"/>
          <w:lang w:eastAsia="zh-CN"/>
        </w:rPr>
      </w:pPr>
      <w:bookmarkStart w:id="68" w:name="_Toc18017"/>
      <w:r>
        <w:rPr>
          <w:rFonts w:hint="eastAsia" w:ascii="宋体" w:hAnsi="宋体" w:eastAsia="宋体"/>
          <w:b/>
          <w:bCs/>
          <w:color w:val="auto"/>
          <w:kern w:val="2"/>
          <w:sz w:val="21"/>
          <w:szCs w:val="21"/>
          <w:highlight w:val="none"/>
          <w:lang w:eastAsia="zh-CN"/>
        </w:rPr>
        <w:t>第十条  售后服务</w:t>
      </w:r>
      <w:bookmarkEnd w:id="68"/>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1.乙方提供服务的质量保证期为自服务通过最终验收之日起 个月。若国家有明确规定的质量保证期高于此质量保证期的，执行国家规定。</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2.服务期内，乙方应提供相关服务支持。对甲方所反映的任何服务问题在××日（小时）之内做出及时响应，在日（小时）之内赶到现场实地解决问题。若问题在工作日（小时）后仍无法解决，乙方应在日（小时）内免费提供服务的补偿、替换方案，直至服务恢复正常。</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3.乙方必须遵守甲方的有关管理制度、操作规程。对于乙方违规操作造成甲方损失的，由乙方按照本合同第十二条的约定承担赔偿责任。</w:t>
      </w:r>
    </w:p>
    <w:p>
      <w:pPr>
        <w:ind w:firstLine="422" w:firstLineChars="200"/>
        <w:rPr>
          <w:rFonts w:ascii="宋体" w:hAnsi="宋体" w:eastAsia="宋体"/>
          <w:b/>
          <w:bCs/>
          <w:color w:val="auto"/>
          <w:kern w:val="2"/>
          <w:sz w:val="21"/>
          <w:szCs w:val="21"/>
          <w:highlight w:val="none"/>
          <w:lang w:eastAsia="zh-CN"/>
        </w:rPr>
      </w:pPr>
      <w:bookmarkStart w:id="69" w:name="_Toc11971"/>
      <w:r>
        <w:rPr>
          <w:rFonts w:hint="eastAsia" w:ascii="宋体" w:hAnsi="宋体" w:eastAsia="宋体"/>
          <w:b/>
          <w:bCs/>
          <w:color w:val="auto"/>
          <w:kern w:val="2"/>
          <w:sz w:val="21"/>
          <w:szCs w:val="21"/>
          <w:highlight w:val="none"/>
          <w:lang w:eastAsia="zh-CN"/>
        </w:rPr>
        <w:t>第十一条  分包和转包</w:t>
      </w:r>
      <w:bookmarkEnd w:id="69"/>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除招标采购文件事先说明、且经甲方事先书面同意外，乙方不得分包、转包其应履行的合同义务。</w:t>
      </w:r>
    </w:p>
    <w:p>
      <w:pPr>
        <w:ind w:firstLine="422" w:firstLineChars="200"/>
        <w:rPr>
          <w:rFonts w:ascii="宋体" w:hAnsi="宋体" w:eastAsia="宋体"/>
          <w:b/>
          <w:bCs/>
          <w:color w:val="auto"/>
          <w:kern w:val="2"/>
          <w:sz w:val="21"/>
          <w:szCs w:val="21"/>
          <w:highlight w:val="none"/>
          <w:lang w:eastAsia="zh-CN"/>
        </w:rPr>
      </w:pPr>
      <w:bookmarkStart w:id="70" w:name="_Toc13430"/>
      <w:r>
        <w:rPr>
          <w:rFonts w:hint="eastAsia" w:ascii="宋体" w:hAnsi="宋体" w:eastAsia="宋体"/>
          <w:b/>
          <w:bCs/>
          <w:color w:val="auto"/>
          <w:kern w:val="2"/>
          <w:sz w:val="21"/>
          <w:szCs w:val="21"/>
          <w:highlight w:val="none"/>
          <w:lang w:eastAsia="zh-CN"/>
        </w:rPr>
        <w:t>第十二条  合同的生效</w:t>
      </w:r>
      <w:bookmarkEnd w:id="70"/>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1.本合同经甲乙双方或授权代表签字并加盖公章或合同专用章后生效。</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2.生效后，除《中华人民共和国政府采购法》第49条、第50条第二款规定的情形外，甲乙双方不得擅自变更、中止或终止合同。</w:t>
      </w:r>
    </w:p>
    <w:p>
      <w:pPr>
        <w:ind w:firstLine="422" w:firstLineChars="200"/>
        <w:rPr>
          <w:rFonts w:ascii="宋体" w:hAnsi="宋体" w:eastAsia="宋体"/>
          <w:b/>
          <w:bCs/>
          <w:color w:val="auto"/>
          <w:kern w:val="2"/>
          <w:sz w:val="21"/>
          <w:szCs w:val="21"/>
          <w:highlight w:val="none"/>
          <w:lang w:eastAsia="zh-CN"/>
        </w:rPr>
      </w:pPr>
      <w:bookmarkStart w:id="71" w:name="_Toc29508"/>
      <w:r>
        <w:rPr>
          <w:rFonts w:hint="eastAsia" w:ascii="宋体" w:hAnsi="宋体" w:eastAsia="宋体"/>
          <w:b/>
          <w:bCs/>
          <w:color w:val="auto"/>
          <w:kern w:val="2"/>
          <w:sz w:val="21"/>
          <w:szCs w:val="21"/>
          <w:highlight w:val="none"/>
          <w:lang w:eastAsia="zh-CN"/>
        </w:rPr>
        <w:t>第十三条  违约责任</w:t>
      </w:r>
      <w:bookmarkEnd w:id="71"/>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1.乙方所交付服务成果不符合本合同规定的，甲方有权拒收，乙方在得到甲方通知之日起     个工作日内采取补救措施，逾期仍未采取有效措施的，甲方有权要求乙方赔偿因此造成的损失或扣留履约保证金；同时乙方应向甲方支付合同总价％的违约金。</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2.甲方无正当理由拒收服务，甲方应向乙方偿付拒付服务费用％的违约金。</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3.乙方无正当理由逾期交付服务的，每逾期1天，乙方向甲方偿付合同总额的‰的违约金。如乙方逾期达天，甲方有权解除合同，甲方解除合同的通知自到达乙方时生效。在此情况下，乙方给甲方造成的实际损失高于违约金的，对高出违约金的部分乙方应予以赔偿。</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4.甲方未按合同规定的期限向乙方支付合同款的，每逾期1天甲方向乙方偿付欠款总额的    ‰违约金，但累计违约金总额不超过欠款总额的％。</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5.因乙方原因导致违约、本合同无法履行等情形造成甲方损失的，乙方除承担违约责任外还应支付甲方一切相关费用，包括但不限于诉讼费、保全费、鉴定费、律师费、交通费。</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6.其它未尽事宜，以《合同法》和《中华人民共和国政府采购法》等有关法律法规规定为准，无相关规定的，双方协商解决。</w:t>
      </w:r>
    </w:p>
    <w:p>
      <w:pPr>
        <w:ind w:firstLine="422" w:firstLineChars="200"/>
        <w:rPr>
          <w:rFonts w:ascii="宋体" w:hAnsi="宋体" w:eastAsia="宋体"/>
          <w:b/>
          <w:bCs/>
          <w:color w:val="auto"/>
          <w:kern w:val="2"/>
          <w:sz w:val="21"/>
          <w:szCs w:val="21"/>
          <w:highlight w:val="none"/>
          <w:lang w:eastAsia="zh-CN"/>
        </w:rPr>
      </w:pPr>
      <w:bookmarkStart w:id="72" w:name="_Toc25046"/>
      <w:r>
        <w:rPr>
          <w:rFonts w:hint="eastAsia" w:ascii="宋体" w:hAnsi="宋体" w:eastAsia="宋体"/>
          <w:b/>
          <w:bCs/>
          <w:color w:val="auto"/>
          <w:kern w:val="2"/>
          <w:sz w:val="21"/>
          <w:szCs w:val="21"/>
          <w:highlight w:val="none"/>
          <w:lang w:eastAsia="zh-CN"/>
        </w:rPr>
        <w:t>第十四条  不可抗力</w:t>
      </w:r>
      <w:bookmarkEnd w:id="72"/>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甲、乙方中任何一方，因不可抗力不能按时或完全履行合同的，应及时通知对方，并在 个工作日内提供相应证明，结算服务费用。未履行的部分是否继续履行、如何履行等问题，可由双方初步协商，并向主管部门和政府采购管理部门报告。确定为不可抗力原因造成的损失，免予承担责任。</w:t>
      </w:r>
    </w:p>
    <w:p>
      <w:pPr>
        <w:ind w:firstLine="422" w:firstLineChars="200"/>
        <w:rPr>
          <w:rFonts w:ascii="宋体" w:hAnsi="宋体" w:eastAsia="宋体"/>
          <w:b/>
          <w:bCs/>
          <w:color w:val="auto"/>
          <w:kern w:val="2"/>
          <w:sz w:val="21"/>
          <w:szCs w:val="21"/>
          <w:highlight w:val="none"/>
          <w:lang w:eastAsia="zh-CN"/>
        </w:rPr>
      </w:pPr>
      <w:bookmarkStart w:id="73" w:name="_Toc1310"/>
      <w:r>
        <w:rPr>
          <w:rFonts w:hint="eastAsia" w:ascii="宋体" w:hAnsi="宋体" w:eastAsia="宋体"/>
          <w:b/>
          <w:bCs/>
          <w:color w:val="auto"/>
          <w:kern w:val="2"/>
          <w:sz w:val="21"/>
          <w:szCs w:val="21"/>
          <w:highlight w:val="none"/>
          <w:lang w:eastAsia="zh-CN"/>
        </w:rPr>
        <w:t>第十五条  争议的解决方式</w:t>
      </w:r>
      <w:bookmarkEnd w:id="73"/>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1.因服务质量问题发生争议的，应当邀请国家认可的质量检测机构对服务进行鉴定。服务符合标准的，鉴定费由甲方承担；不符合质量标准的，鉴定费由乙方承担。</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2.在解释或者执行本合同的过程中发生争议时，双方应通过协商方式解决。</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3.经协商不能解决的争议，双方可选择以下第种方式解决：</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①向 甲方住所地 有管辖权的法院提起诉讼；</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②向 仲裁委员会提出仲裁。</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4.在法院审理和仲裁期间，除有争议部分外，本合同其他部分可以履行的仍应按合同条款继续履行。</w:t>
      </w:r>
    </w:p>
    <w:p>
      <w:pPr>
        <w:ind w:firstLine="422" w:firstLineChars="200"/>
        <w:rPr>
          <w:rFonts w:ascii="宋体" w:hAnsi="宋体" w:eastAsia="宋体"/>
          <w:b/>
          <w:bCs/>
          <w:color w:val="auto"/>
          <w:kern w:val="2"/>
          <w:sz w:val="21"/>
          <w:szCs w:val="21"/>
          <w:highlight w:val="none"/>
          <w:lang w:eastAsia="zh-CN"/>
        </w:rPr>
      </w:pPr>
      <w:bookmarkStart w:id="74" w:name="_Toc15996"/>
      <w:r>
        <w:rPr>
          <w:rFonts w:hint="eastAsia" w:ascii="宋体" w:hAnsi="宋体" w:eastAsia="宋体"/>
          <w:b/>
          <w:bCs/>
          <w:color w:val="auto"/>
          <w:kern w:val="2"/>
          <w:sz w:val="21"/>
          <w:szCs w:val="21"/>
          <w:highlight w:val="none"/>
          <w:lang w:eastAsia="zh-CN"/>
        </w:rPr>
        <w:t>第十六条  其他</w:t>
      </w:r>
      <w:bookmarkEnd w:id="74"/>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符合《中华人民共和国政府采购法》第49条规定的，经双方协商，办理政府采购手续后，可签订补充合同，所签订的补充合同与本合同具有同等法律效力。</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本合同一式份，甲、乙双方各执份。</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甲   方：                        乙   方：</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名称：（盖章）                    名称：（盖章）</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地址：                           地址：</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法定代表人（签字）：              法定代表人（签字）：</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授权代表（签字）：                授权代表（签字）：</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开户银行：                       开户银行：</w:t>
      </w:r>
    </w:p>
    <w:p>
      <w:pPr>
        <w:ind w:firstLine="420" w:firstLineChars="200"/>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银行帐号：                       银行帐号：</w:t>
      </w:r>
    </w:p>
    <w:p>
      <w:pPr>
        <w:ind w:firstLine="420" w:firstLineChars="200"/>
        <w:rPr>
          <w:rFonts w:ascii="宋体" w:hAnsi="宋体" w:eastAsia="宋体"/>
          <w:color w:val="auto"/>
          <w:highlight w:val="none"/>
          <w:lang w:eastAsia="zh-CN"/>
        </w:rPr>
        <w:sectPr>
          <w:pgSz w:w="11907" w:h="16834"/>
          <w:pgMar w:top="1440" w:right="1080" w:bottom="1440" w:left="1080" w:header="1077" w:footer="1077" w:gutter="0"/>
          <w:cols w:space="708" w:num="1"/>
          <w:docGrid w:type="lines" w:linePitch="327" w:charSpace="0"/>
        </w:sectPr>
      </w:pPr>
      <w:r>
        <w:rPr>
          <w:rFonts w:hint="eastAsia" w:ascii="宋体" w:hAnsi="宋体" w:eastAsia="宋体"/>
          <w:color w:val="auto"/>
          <w:kern w:val="2"/>
          <w:sz w:val="21"/>
          <w:szCs w:val="21"/>
          <w:highlight w:val="none"/>
          <w:lang w:eastAsia="zh-CN"/>
        </w:rPr>
        <w:t>时间： 年 月 日</w:t>
      </w:r>
    </w:p>
    <w:p>
      <w:pPr>
        <w:widowControl/>
        <w:spacing w:line="360" w:lineRule="auto"/>
        <w:jc w:val="center"/>
        <w:outlineLvl w:val="0"/>
        <w:rPr>
          <w:rFonts w:ascii="宋体" w:hAnsi="宋体" w:eastAsia="宋体"/>
          <w:b/>
          <w:color w:val="auto"/>
          <w:sz w:val="36"/>
          <w:szCs w:val="36"/>
          <w:highlight w:val="none"/>
          <w:lang w:eastAsia="zh-CN"/>
        </w:rPr>
      </w:pPr>
      <w:bookmarkStart w:id="75" w:name="_Toc21671"/>
      <w:bookmarkStart w:id="76" w:name="_Toc6195"/>
      <w:r>
        <w:rPr>
          <w:rFonts w:hint="eastAsia" w:ascii="宋体" w:hAnsi="宋体" w:eastAsia="宋体"/>
          <w:b/>
          <w:color w:val="auto"/>
          <w:sz w:val="36"/>
          <w:szCs w:val="36"/>
          <w:highlight w:val="none"/>
          <w:lang w:eastAsia="zh-CN"/>
        </w:rPr>
        <w:t>第七部分   磋商文件格式</w:t>
      </w:r>
      <w:bookmarkEnd w:id="75"/>
      <w:bookmarkEnd w:id="76"/>
    </w:p>
    <w:p>
      <w:pPr>
        <w:spacing w:line="360" w:lineRule="auto"/>
        <w:outlineLvl w:val="1"/>
        <w:rPr>
          <w:rFonts w:ascii="宋体" w:hAnsi="宋体" w:eastAsia="宋体"/>
          <w:color w:val="auto"/>
          <w:sz w:val="28"/>
          <w:highlight w:val="none"/>
          <w:lang w:eastAsia="zh-CN"/>
        </w:rPr>
      </w:pPr>
      <w:bookmarkStart w:id="77" w:name="_Toc19261"/>
    </w:p>
    <w:p>
      <w:pPr>
        <w:pStyle w:val="26"/>
        <w:ind w:firstLine="2168" w:firstLineChars="600"/>
        <w:jc w:val="center"/>
        <w:rPr>
          <w:rFonts w:ascii="宋体" w:hAnsi="宋体" w:eastAsia="宋体"/>
          <w:b/>
          <w:color w:val="auto"/>
          <w:sz w:val="36"/>
          <w:szCs w:val="24"/>
          <w:highlight w:val="none"/>
          <w:lang w:eastAsia="zh-CN"/>
        </w:rPr>
      </w:pPr>
      <w:r>
        <w:rPr>
          <w:rFonts w:hint="eastAsia" w:ascii="宋体" w:hAnsi="宋体" w:eastAsia="宋体"/>
          <w:b/>
          <w:color w:val="auto"/>
          <w:sz w:val="36"/>
          <w:szCs w:val="24"/>
          <w:highlight w:val="none"/>
          <w:lang w:eastAsia="zh-CN"/>
        </w:rPr>
        <w:t>（项目名称）</w:t>
      </w:r>
    </w:p>
    <w:p>
      <w:pPr>
        <w:pStyle w:val="26"/>
        <w:ind w:firstLine="241"/>
        <w:rPr>
          <w:rFonts w:ascii="宋体" w:hAnsi="宋体" w:eastAsia="宋体"/>
          <w:b/>
          <w:color w:val="auto"/>
          <w:sz w:val="24"/>
          <w:highlight w:val="none"/>
          <w:lang w:eastAsia="zh-CN"/>
        </w:rPr>
      </w:pPr>
    </w:p>
    <w:p>
      <w:pPr>
        <w:pStyle w:val="26"/>
        <w:ind w:firstLine="241"/>
        <w:rPr>
          <w:rFonts w:ascii="宋体" w:hAnsi="宋体" w:eastAsia="宋体"/>
          <w:b/>
          <w:color w:val="auto"/>
          <w:sz w:val="24"/>
          <w:highlight w:val="none"/>
          <w:lang w:eastAsia="zh-CN"/>
        </w:rPr>
      </w:pPr>
    </w:p>
    <w:p>
      <w:pPr>
        <w:pStyle w:val="26"/>
        <w:ind w:firstLine="241"/>
        <w:rPr>
          <w:rFonts w:ascii="宋体" w:hAnsi="宋体" w:eastAsia="宋体"/>
          <w:b/>
          <w:color w:val="auto"/>
          <w:sz w:val="24"/>
          <w:highlight w:val="none"/>
          <w:lang w:eastAsia="zh-CN"/>
        </w:rPr>
      </w:pPr>
    </w:p>
    <w:p>
      <w:pPr>
        <w:pStyle w:val="26"/>
        <w:ind w:firstLine="241"/>
        <w:rPr>
          <w:rFonts w:ascii="宋体" w:hAnsi="宋体" w:eastAsia="宋体"/>
          <w:b/>
          <w:color w:val="auto"/>
          <w:sz w:val="24"/>
          <w:highlight w:val="none"/>
          <w:lang w:eastAsia="zh-CN"/>
        </w:rPr>
      </w:pPr>
    </w:p>
    <w:p>
      <w:pPr>
        <w:pStyle w:val="26"/>
        <w:ind w:firstLine="0" w:firstLineChars="0"/>
        <w:jc w:val="center"/>
        <w:rPr>
          <w:rFonts w:ascii="宋体" w:hAnsi="宋体" w:eastAsia="宋体"/>
          <w:b/>
          <w:color w:val="auto"/>
          <w:sz w:val="84"/>
          <w:szCs w:val="84"/>
          <w:highlight w:val="none"/>
          <w:lang w:eastAsia="zh-CN"/>
        </w:rPr>
      </w:pPr>
      <w:r>
        <w:rPr>
          <w:rFonts w:hint="eastAsia" w:ascii="宋体" w:hAnsi="宋体" w:eastAsia="宋体"/>
          <w:b/>
          <w:color w:val="auto"/>
          <w:sz w:val="84"/>
          <w:szCs w:val="84"/>
          <w:highlight w:val="none"/>
          <w:lang w:eastAsia="zh-CN"/>
        </w:rPr>
        <w:t>投 标 文 件</w:t>
      </w:r>
    </w:p>
    <w:p>
      <w:pPr>
        <w:spacing w:line="400" w:lineRule="exact"/>
        <w:jc w:val="center"/>
        <w:rPr>
          <w:rFonts w:ascii="宋体" w:hAnsi="宋体" w:eastAsia="宋体"/>
          <w:b/>
          <w:color w:val="auto"/>
          <w:sz w:val="36"/>
          <w:szCs w:val="24"/>
          <w:highlight w:val="none"/>
          <w:lang w:eastAsia="zh-CN"/>
        </w:rPr>
      </w:pPr>
      <w:r>
        <w:rPr>
          <w:rFonts w:hint="eastAsia" w:ascii="宋体" w:hAnsi="宋体" w:eastAsia="宋体"/>
          <w:b/>
          <w:color w:val="auto"/>
          <w:sz w:val="36"/>
          <w:szCs w:val="24"/>
          <w:highlight w:val="none"/>
          <w:lang w:eastAsia="zh-CN"/>
        </w:rPr>
        <w:t>采购编号：</w:t>
      </w:r>
    </w:p>
    <w:p>
      <w:pPr>
        <w:spacing w:line="400" w:lineRule="exact"/>
        <w:ind w:firstLine="2400" w:firstLineChars="1000"/>
        <w:rPr>
          <w:rFonts w:ascii="宋体" w:hAnsi="宋体" w:eastAsia="宋体"/>
          <w:bCs/>
          <w:color w:val="auto"/>
          <w:sz w:val="24"/>
          <w:highlight w:val="none"/>
          <w:lang w:eastAsia="zh-CN"/>
        </w:rPr>
      </w:pPr>
    </w:p>
    <w:p>
      <w:pPr>
        <w:spacing w:line="400" w:lineRule="exact"/>
        <w:ind w:firstLine="2400" w:firstLineChars="1000"/>
        <w:rPr>
          <w:rFonts w:ascii="宋体" w:hAnsi="宋体" w:eastAsia="宋体"/>
          <w:bCs/>
          <w:color w:val="auto"/>
          <w:sz w:val="24"/>
          <w:highlight w:val="none"/>
          <w:lang w:eastAsia="zh-CN"/>
        </w:rPr>
      </w:pPr>
    </w:p>
    <w:p>
      <w:pPr>
        <w:spacing w:line="400" w:lineRule="exact"/>
        <w:ind w:firstLine="2400" w:firstLineChars="1000"/>
        <w:rPr>
          <w:rFonts w:ascii="宋体" w:hAnsi="宋体" w:eastAsia="宋体"/>
          <w:bCs/>
          <w:color w:val="auto"/>
          <w:sz w:val="24"/>
          <w:highlight w:val="none"/>
          <w:lang w:eastAsia="zh-CN"/>
        </w:rPr>
      </w:pPr>
    </w:p>
    <w:p>
      <w:pPr>
        <w:spacing w:line="400" w:lineRule="exact"/>
        <w:ind w:firstLine="2400" w:firstLineChars="1000"/>
        <w:rPr>
          <w:rFonts w:ascii="宋体" w:hAnsi="宋体" w:eastAsia="宋体"/>
          <w:bCs/>
          <w:color w:val="auto"/>
          <w:sz w:val="24"/>
          <w:highlight w:val="none"/>
          <w:lang w:eastAsia="zh-CN"/>
        </w:rPr>
      </w:pPr>
    </w:p>
    <w:p>
      <w:pPr>
        <w:spacing w:line="400" w:lineRule="exact"/>
        <w:ind w:firstLine="2400" w:firstLineChars="1000"/>
        <w:rPr>
          <w:rFonts w:ascii="宋体" w:hAnsi="宋体" w:eastAsia="宋体"/>
          <w:bCs/>
          <w:color w:val="auto"/>
          <w:sz w:val="24"/>
          <w:highlight w:val="none"/>
          <w:lang w:eastAsia="zh-CN"/>
        </w:rPr>
      </w:pPr>
    </w:p>
    <w:p>
      <w:pPr>
        <w:spacing w:line="400" w:lineRule="exact"/>
        <w:ind w:firstLine="2400" w:firstLineChars="1000"/>
        <w:rPr>
          <w:rFonts w:ascii="宋体" w:hAnsi="宋体" w:eastAsia="宋体"/>
          <w:bCs/>
          <w:color w:val="auto"/>
          <w:sz w:val="24"/>
          <w:highlight w:val="none"/>
          <w:lang w:eastAsia="zh-CN"/>
        </w:rPr>
      </w:pPr>
    </w:p>
    <w:p>
      <w:pPr>
        <w:spacing w:line="400" w:lineRule="exact"/>
        <w:ind w:firstLine="2400" w:firstLineChars="1000"/>
        <w:rPr>
          <w:rFonts w:ascii="宋体" w:hAnsi="宋体" w:eastAsia="宋体"/>
          <w:bCs/>
          <w:color w:val="auto"/>
          <w:sz w:val="24"/>
          <w:highlight w:val="none"/>
          <w:lang w:eastAsia="zh-CN"/>
        </w:rPr>
      </w:pPr>
    </w:p>
    <w:p>
      <w:pPr>
        <w:spacing w:line="400" w:lineRule="exact"/>
        <w:ind w:firstLine="2400" w:firstLineChars="1000"/>
        <w:rPr>
          <w:rFonts w:ascii="宋体" w:hAnsi="宋体" w:eastAsia="宋体"/>
          <w:bCs/>
          <w:color w:val="auto"/>
          <w:sz w:val="24"/>
          <w:highlight w:val="none"/>
          <w:lang w:eastAsia="zh-CN"/>
        </w:rPr>
      </w:pPr>
    </w:p>
    <w:p>
      <w:pPr>
        <w:spacing w:line="400" w:lineRule="exact"/>
        <w:ind w:firstLine="2400" w:firstLineChars="1000"/>
        <w:rPr>
          <w:rFonts w:ascii="宋体" w:hAnsi="宋体" w:eastAsia="宋体"/>
          <w:bCs/>
          <w:color w:val="auto"/>
          <w:sz w:val="24"/>
          <w:highlight w:val="none"/>
          <w:lang w:eastAsia="zh-CN"/>
        </w:rPr>
      </w:pPr>
    </w:p>
    <w:p>
      <w:pPr>
        <w:spacing w:line="400" w:lineRule="exact"/>
        <w:ind w:firstLine="2400" w:firstLineChars="1000"/>
        <w:rPr>
          <w:rFonts w:ascii="宋体" w:hAnsi="宋体" w:eastAsia="宋体"/>
          <w:bCs/>
          <w:color w:val="auto"/>
          <w:sz w:val="24"/>
          <w:highlight w:val="none"/>
          <w:lang w:eastAsia="zh-CN"/>
        </w:rPr>
      </w:pPr>
    </w:p>
    <w:p>
      <w:pPr>
        <w:spacing w:line="400" w:lineRule="exact"/>
        <w:ind w:firstLine="2400" w:firstLineChars="1000"/>
        <w:rPr>
          <w:rFonts w:ascii="宋体" w:hAnsi="宋体" w:eastAsia="宋体"/>
          <w:bCs/>
          <w:color w:val="auto"/>
          <w:sz w:val="24"/>
          <w:highlight w:val="none"/>
          <w:lang w:eastAsia="zh-CN"/>
        </w:rPr>
      </w:pPr>
    </w:p>
    <w:p>
      <w:pPr>
        <w:spacing w:line="400" w:lineRule="exact"/>
        <w:ind w:firstLine="2400" w:firstLineChars="1000"/>
        <w:rPr>
          <w:rFonts w:ascii="宋体" w:hAnsi="宋体" w:eastAsia="宋体"/>
          <w:bCs/>
          <w:color w:val="auto"/>
          <w:sz w:val="24"/>
          <w:highlight w:val="none"/>
          <w:lang w:eastAsia="zh-CN"/>
        </w:rPr>
      </w:pPr>
    </w:p>
    <w:p>
      <w:pPr>
        <w:spacing w:line="400" w:lineRule="exact"/>
        <w:ind w:firstLine="2400" w:firstLineChars="1000"/>
        <w:rPr>
          <w:rFonts w:ascii="宋体" w:hAnsi="宋体" w:eastAsia="宋体"/>
          <w:bCs/>
          <w:color w:val="auto"/>
          <w:sz w:val="24"/>
          <w:highlight w:val="none"/>
          <w:lang w:eastAsia="zh-CN"/>
        </w:rPr>
      </w:pPr>
    </w:p>
    <w:p>
      <w:pPr>
        <w:spacing w:line="400" w:lineRule="exact"/>
        <w:ind w:firstLine="2400" w:firstLineChars="1000"/>
        <w:rPr>
          <w:rFonts w:ascii="宋体" w:hAnsi="宋体" w:eastAsia="宋体"/>
          <w:bCs/>
          <w:color w:val="auto"/>
          <w:sz w:val="24"/>
          <w:highlight w:val="none"/>
          <w:lang w:eastAsia="zh-CN"/>
        </w:rPr>
      </w:pPr>
    </w:p>
    <w:p>
      <w:pPr>
        <w:spacing w:line="480" w:lineRule="auto"/>
        <w:ind w:firstLine="1400" w:firstLineChars="500"/>
        <w:rPr>
          <w:rFonts w:ascii="宋体" w:hAnsi="宋体" w:eastAsia="宋体"/>
          <w:bCs/>
          <w:color w:val="auto"/>
          <w:sz w:val="28"/>
          <w:szCs w:val="28"/>
          <w:highlight w:val="none"/>
          <w:lang w:eastAsia="zh-CN"/>
        </w:rPr>
      </w:pPr>
      <w:r>
        <w:rPr>
          <w:rFonts w:hint="eastAsia" w:ascii="宋体" w:hAnsi="宋体" w:eastAsia="宋体"/>
          <w:bCs/>
          <w:color w:val="auto"/>
          <w:sz w:val="28"/>
          <w:szCs w:val="28"/>
          <w:highlight w:val="none"/>
          <w:lang w:eastAsia="zh-CN"/>
        </w:rPr>
        <w:t>供应商名称：（加盖公章）</w:t>
      </w:r>
    </w:p>
    <w:p>
      <w:pPr>
        <w:spacing w:line="480" w:lineRule="auto"/>
        <w:ind w:firstLine="1400" w:firstLineChars="500"/>
        <w:rPr>
          <w:rFonts w:ascii="宋体" w:hAnsi="宋体" w:eastAsia="宋体"/>
          <w:bCs/>
          <w:color w:val="auto"/>
          <w:sz w:val="28"/>
          <w:szCs w:val="28"/>
          <w:highlight w:val="none"/>
          <w:u w:val="single"/>
          <w:lang w:eastAsia="zh-CN"/>
        </w:rPr>
      </w:pPr>
      <w:r>
        <w:rPr>
          <w:rFonts w:hint="eastAsia" w:ascii="宋体" w:hAnsi="宋体" w:eastAsia="宋体"/>
          <w:bCs/>
          <w:color w:val="auto"/>
          <w:sz w:val="28"/>
          <w:szCs w:val="28"/>
          <w:highlight w:val="none"/>
          <w:lang w:eastAsia="zh-CN"/>
        </w:rPr>
        <w:t>法定代表人或授权委托人：（签字或盖章）</w:t>
      </w:r>
    </w:p>
    <w:p>
      <w:pPr>
        <w:spacing w:line="480" w:lineRule="auto"/>
        <w:ind w:firstLine="1400" w:firstLineChars="500"/>
        <w:rPr>
          <w:rFonts w:ascii="宋体" w:hAnsi="宋体" w:eastAsia="宋体"/>
          <w:bCs/>
          <w:color w:val="auto"/>
          <w:sz w:val="28"/>
          <w:szCs w:val="28"/>
          <w:highlight w:val="none"/>
          <w:lang w:eastAsia="zh-CN"/>
        </w:rPr>
      </w:pPr>
      <w:r>
        <w:rPr>
          <w:rFonts w:hint="eastAsia" w:ascii="宋体" w:hAnsi="宋体" w:eastAsia="宋体"/>
          <w:bCs/>
          <w:color w:val="auto"/>
          <w:sz w:val="28"/>
          <w:szCs w:val="28"/>
          <w:highlight w:val="none"/>
          <w:lang w:eastAsia="zh-CN"/>
        </w:rPr>
        <w:t>日      期：年月日</w:t>
      </w:r>
    </w:p>
    <w:p>
      <w:pPr>
        <w:pStyle w:val="5"/>
        <w:rPr>
          <w:rFonts w:ascii="宋体" w:hAnsi="宋体" w:eastAsia="宋体" w:cs="宋体"/>
          <w:color w:val="auto"/>
          <w:sz w:val="28"/>
          <w:szCs w:val="28"/>
          <w:highlight w:val="none"/>
        </w:rPr>
        <w:sectPr>
          <w:pgSz w:w="11907" w:h="16834"/>
          <w:pgMar w:top="1440" w:right="1080" w:bottom="1440" w:left="1080" w:header="1077" w:footer="1077" w:gutter="0"/>
          <w:cols w:space="708" w:num="1"/>
          <w:docGrid w:type="lines" w:linePitch="327" w:charSpace="0"/>
        </w:sectPr>
      </w:pPr>
    </w:p>
    <w:p>
      <w:pPr>
        <w:spacing w:line="360" w:lineRule="auto"/>
        <w:jc w:val="center"/>
        <w:outlineLvl w:val="1"/>
        <w:rPr>
          <w:rFonts w:ascii="宋体" w:hAnsi="宋体" w:eastAsia="宋体"/>
          <w:color w:val="auto"/>
          <w:sz w:val="28"/>
          <w:highlight w:val="none"/>
          <w:lang w:eastAsia="zh-CN"/>
        </w:rPr>
      </w:pPr>
      <w:r>
        <w:rPr>
          <w:rFonts w:hint="eastAsia" w:ascii="宋体" w:hAnsi="宋体" w:eastAsia="宋体"/>
          <w:color w:val="auto"/>
          <w:sz w:val="28"/>
          <w:highlight w:val="none"/>
          <w:lang w:eastAsia="zh-CN"/>
        </w:rPr>
        <w:t>目录</w:t>
      </w:r>
    </w:p>
    <w:p>
      <w:pPr>
        <w:pStyle w:val="2"/>
        <w:jc w:val="center"/>
        <w:rPr>
          <w:rFonts w:ascii="宋体" w:hAnsi="宋体" w:eastAsia="宋体"/>
          <w:color w:val="auto"/>
          <w:sz w:val="28"/>
          <w:highlight w:val="none"/>
          <w:lang w:eastAsia="zh-CN"/>
        </w:rPr>
      </w:pPr>
      <w:r>
        <w:rPr>
          <w:rFonts w:hint="eastAsia" w:ascii="宋体" w:hAnsi="宋体" w:eastAsia="宋体"/>
          <w:color w:val="auto"/>
          <w:sz w:val="28"/>
          <w:highlight w:val="none"/>
          <w:lang w:eastAsia="zh-CN"/>
        </w:rPr>
        <w:t>（格式自拟）</w:t>
      </w:r>
    </w:p>
    <w:p>
      <w:pPr>
        <w:pStyle w:val="3"/>
        <w:rPr>
          <w:color w:val="auto"/>
          <w:highlight w:val="none"/>
        </w:rPr>
        <w:sectPr>
          <w:pgSz w:w="11907" w:h="16834"/>
          <w:pgMar w:top="1440" w:right="1080" w:bottom="1440" w:left="1080" w:header="1077" w:footer="1077" w:gutter="0"/>
          <w:cols w:space="708" w:num="1"/>
          <w:docGrid w:type="lines" w:linePitch="327" w:charSpace="0"/>
        </w:sectPr>
      </w:pPr>
    </w:p>
    <w:p>
      <w:pPr>
        <w:spacing w:line="360" w:lineRule="auto"/>
        <w:outlineLvl w:val="1"/>
        <w:rPr>
          <w:rFonts w:ascii="宋体" w:hAnsi="宋体" w:eastAsia="宋体"/>
          <w:color w:val="auto"/>
          <w:sz w:val="28"/>
          <w:highlight w:val="none"/>
          <w:lang w:eastAsia="zh-CN"/>
        </w:rPr>
      </w:pPr>
      <w:r>
        <w:rPr>
          <w:rFonts w:hint="eastAsia" w:ascii="宋体" w:hAnsi="宋体" w:eastAsia="宋体"/>
          <w:color w:val="auto"/>
          <w:sz w:val="28"/>
          <w:highlight w:val="none"/>
          <w:lang w:eastAsia="zh-CN"/>
        </w:rPr>
        <w:t>格式1</w:t>
      </w:r>
      <w:bookmarkEnd w:id="77"/>
    </w:p>
    <w:p>
      <w:pPr>
        <w:spacing w:line="360" w:lineRule="auto"/>
        <w:ind w:firstLine="560"/>
        <w:jc w:val="center"/>
        <w:outlineLvl w:val="2"/>
        <w:rPr>
          <w:rFonts w:ascii="宋体" w:hAnsi="宋体" w:eastAsia="宋体"/>
          <w:b/>
          <w:color w:val="auto"/>
          <w:sz w:val="36"/>
          <w:szCs w:val="36"/>
          <w:highlight w:val="none"/>
          <w:lang w:eastAsia="zh-CN"/>
        </w:rPr>
      </w:pPr>
      <w:bookmarkStart w:id="78" w:name="_Toc27469"/>
      <w:bookmarkStart w:id="79" w:name="_Toc20631"/>
      <w:r>
        <w:rPr>
          <w:rFonts w:hint="eastAsia" w:ascii="宋体" w:hAnsi="宋体" w:eastAsia="宋体"/>
          <w:b/>
          <w:color w:val="auto"/>
          <w:sz w:val="36"/>
          <w:szCs w:val="36"/>
          <w:highlight w:val="none"/>
          <w:lang w:eastAsia="zh-CN"/>
        </w:rPr>
        <w:t>声   明   书</w:t>
      </w:r>
      <w:bookmarkEnd w:id="78"/>
      <w:bookmarkEnd w:id="79"/>
    </w:p>
    <w:p>
      <w:pPr>
        <w:textAlignment w:val="baseline"/>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致：</w:t>
      </w:r>
      <w:r>
        <w:rPr>
          <w:rFonts w:hint="eastAsia" w:ascii="宋体" w:hAnsi="宋体" w:eastAsia="宋体"/>
          <w:color w:val="auto"/>
          <w:sz w:val="22"/>
          <w:szCs w:val="22"/>
          <w:highlight w:val="none"/>
          <w:u w:val="single"/>
          <w:lang w:eastAsia="zh-CN"/>
        </w:rPr>
        <w:t xml:space="preserve">   招标人名称   </w:t>
      </w:r>
    </w:p>
    <w:p>
      <w:pPr>
        <w:ind w:firstLine="440" w:firstLineChars="200"/>
        <w:textAlignment w:val="baseline"/>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（供应商名称、地址）授权（签字代表姓名）（职务、职称）为签字代表，参加贵方为采购人采购</w:t>
      </w:r>
      <w:r>
        <w:rPr>
          <w:rFonts w:hint="eastAsia" w:ascii="宋体" w:hAnsi="宋体" w:eastAsia="宋体"/>
          <w:color w:val="auto"/>
          <w:sz w:val="22"/>
          <w:szCs w:val="22"/>
          <w:highlight w:val="none"/>
          <w:u w:val="single"/>
          <w:lang w:eastAsia="zh-CN"/>
        </w:rPr>
        <w:t xml:space="preserve">   项目名称    </w:t>
      </w:r>
      <w:r>
        <w:rPr>
          <w:rFonts w:hint="eastAsia" w:ascii="宋体" w:hAnsi="宋体" w:eastAsia="宋体"/>
          <w:color w:val="auto"/>
          <w:sz w:val="22"/>
          <w:szCs w:val="22"/>
          <w:highlight w:val="none"/>
          <w:lang w:eastAsia="zh-CN"/>
        </w:rPr>
        <w:t>项目包（文件编号：）的竞争性磋商采购，提交下述文件正本和副本，并对之负法律责任。</w:t>
      </w:r>
    </w:p>
    <w:p>
      <w:pPr>
        <w:ind w:firstLine="440" w:firstLineChars="200"/>
        <w:textAlignment w:val="baseline"/>
        <w:rPr>
          <w:rFonts w:ascii="宋体" w:hAnsi="宋体" w:eastAsia="宋体"/>
          <w:color w:val="auto"/>
          <w:sz w:val="22"/>
          <w:szCs w:val="22"/>
          <w:highlight w:val="none"/>
          <w:lang w:eastAsia="zh-CN"/>
        </w:rPr>
      </w:pPr>
      <w:bookmarkStart w:id="80" w:name="_Toc15412"/>
      <w:r>
        <w:rPr>
          <w:rFonts w:hint="eastAsia" w:ascii="宋体" w:hAnsi="宋体" w:eastAsia="宋体"/>
          <w:color w:val="auto"/>
          <w:sz w:val="22"/>
          <w:szCs w:val="22"/>
          <w:highlight w:val="none"/>
          <w:lang w:eastAsia="zh-CN"/>
        </w:rPr>
        <w:t>1、声明书</w:t>
      </w:r>
      <w:bookmarkEnd w:id="80"/>
    </w:p>
    <w:p>
      <w:pPr>
        <w:ind w:firstLine="440" w:firstLineChars="200"/>
        <w:textAlignment w:val="baseline"/>
        <w:rPr>
          <w:rFonts w:ascii="宋体" w:hAnsi="宋体" w:eastAsia="宋体"/>
          <w:color w:val="auto"/>
          <w:sz w:val="22"/>
          <w:szCs w:val="22"/>
          <w:highlight w:val="none"/>
          <w:lang w:eastAsia="zh-CN"/>
        </w:rPr>
      </w:pPr>
      <w:bookmarkStart w:id="81" w:name="_Toc27147"/>
      <w:r>
        <w:rPr>
          <w:rFonts w:hint="eastAsia" w:ascii="宋体" w:hAnsi="宋体" w:eastAsia="宋体"/>
          <w:color w:val="auto"/>
          <w:sz w:val="22"/>
          <w:szCs w:val="22"/>
          <w:highlight w:val="none"/>
          <w:lang w:eastAsia="zh-CN"/>
        </w:rPr>
        <w:t>2、报价一览表</w:t>
      </w:r>
      <w:bookmarkEnd w:id="81"/>
    </w:p>
    <w:p>
      <w:pPr>
        <w:ind w:firstLine="440" w:firstLineChars="200"/>
        <w:textAlignment w:val="baseline"/>
        <w:rPr>
          <w:rFonts w:ascii="宋体" w:hAnsi="宋体" w:eastAsia="宋体"/>
          <w:color w:val="auto"/>
          <w:sz w:val="22"/>
          <w:szCs w:val="22"/>
          <w:highlight w:val="none"/>
          <w:lang w:eastAsia="zh-CN"/>
        </w:rPr>
      </w:pPr>
      <w:bookmarkStart w:id="82" w:name="_Toc16717"/>
      <w:r>
        <w:rPr>
          <w:rFonts w:hint="eastAsia" w:ascii="宋体" w:hAnsi="宋体" w:eastAsia="宋体"/>
          <w:color w:val="auto"/>
          <w:sz w:val="22"/>
          <w:szCs w:val="22"/>
          <w:highlight w:val="none"/>
          <w:lang w:eastAsia="zh-CN"/>
        </w:rPr>
        <w:t>3、服务方案</w:t>
      </w:r>
      <w:bookmarkEnd w:id="82"/>
    </w:p>
    <w:p>
      <w:pPr>
        <w:ind w:firstLine="440" w:firstLineChars="200"/>
        <w:textAlignment w:val="baseline"/>
        <w:rPr>
          <w:rFonts w:ascii="宋体" w:hAnsi="宋体" w:eastAsia="宋体"/>
          <w:color w:val="auto"/>
          <w:sz w:val="22"/>
          <w:szCs w:val="22"/>
          <w:highlight w:val="none"/>
          <w:lang w:eastAsia="zh-CN"/>
        </w:rPr>
      </w:pPr>
      <w:bookmarkStart w:id="83" w:name="_Toc4580"/>
      <w:r>
        <w:rPr>
          <w:rFonts w:hint="eastAsia" w:ascii="宋体" w:hAnsi="宋体" w:eastAsia="宋体"/>
          <w:color w:val="auto"/>
          <w:sz w:val="22"/>
          <w:szCs w:val="22"/>
          <w:highlight w:val="none"/>
          <w:lang w:eastAsia="zh-CN"/>
        </w:rPr>
        <w:t>4、资格声明函</w:t>
      </w:r>
      <w:bookmarkEnd w:id="83"/>
    </w:p>
    <w:p>
      <w:pPr>
        <w:ind w:firstLine="440" w:firstLineChars="200"/>
        <w:textAlignment w:val="baseline"/>
        <w:rPr>
          <w:rFonts w:ascii="宋体" w:hAnsi="宋体" w:eastAsia="宋体"/>
          <w:color w:val="auto"/>
          <w:sz w:val="22"/>
          <w:szCs w:val="22"/>
          <w:highlight w:val="none"/>
          <w:lang w:eastAsia="zh-CN"/>
        </w:rPr>
      </w:pPr>
      <w:bookmarkStart w:id="84" w:name="_Toc29434"/>
      <w:r>
        <w:rPr>
          <w:rFonts w:hint="eastAsia" w:ascii="宋体" w:hAnsi="宋体" w:eastAsia="宋体"/>
          <w:color w:val="auto"/>
          <w:sz w:val="22"/>
          <w:szCs w:val="22"/>
          <w:highlight w:val="none"/>
          <w:lang w:eastAsia="zh-CN"/>
        </w:rPr>
        <w:t>5、法定代表人身份证明书</w:t>
      </w:r>
      <w:bookmarkEnd w:id="84"/>
    </w:p>
    <w:p>
      <w:pPr>
        <w:ind w:firstLine="440" w:firstLineChars="200"/>
        <w:textAlignment w:val="baseline"/>
        <w:rPr>
          <w:rFonts w:ascii="宋体" w:hAnsi="宋体" w:eastAsia="宋体"/>
          <w:color w:val="auto"/>
          <w:sz w:val="22"/>
          <w:szCs w:val="22"/>
          <w:highlight w:val="none"/>
          <w:lang w:eastAsia="zh-CN"/>
        </w:rPr>
      </w:pPr>
      <w:bookmarkStart w:id="85" w:name="_Toc5465"/>
      <w:r>
        <w:rPr>
          <w:rFonts w:hint="eastAsia" w:ascii="宋体" w:hAnsi="宋体" w:eastAsia="宋体"/>
          <w:color w:val="auto"/>
          <w:sz w:val="22"/>
          <w:szCs w:val="22"/>
          <w:highlight w:val="none"/>
          <w:lang w:eastAsia="zh-CN"/>
        </w:rPr>
        <w:t>6、法定代表人授权委托书</w:t>
      </w:r>
      <w:bookmarkEnd w:id="85"/>
    </w:p>
    <w:p>
      <w:pPr>
        <w:ind w:firstLine="440" w:firstLineChars="200"/>
        <w:textAlignment w:val="baseline"/>
        <w:rPr>
          <w:rFonts w:ascii="宋体" w:hAnsi="宋体" w:eastAsia="宋体"/>
          <w:color w:val="auto"/>
          <w:sz w:val="22"/>
          <w:szCs w:val="22"/>
          <w:highlight w:val="none"/>
          <w:lang w:eastAsia="zh-CN"/>
        </w:rPr>
      </w:pPr>
      <w:bookmarkStart w:id="86" w:name="_Toc25284"/>
      <w:r>
        <w:rPr>
          <w:rFonts w:hint="eastAsia" w:ascii="宋体" w:hAnsi="宋体" w:eastAsia="宋体"/>
          <w:color w:val="auto"/>
          <w:sz w:val="22"/>
          <w:szCs w:val="22"/>
          <w:highlight w:val="none"/>
          <w:lang w:eastAsia="zh-CN"/>
        </w:rPr>
        <w:t>7、资质证明文件</w:t>
      </w:r>
      <w:bookmarkEnd w:id="86"/>
    </w:p>
    <w:p>
      <w:pPr>
        <w:ind w:firstLine="440" w:firstLineChars="200"/>
        <w:textAlignment w:val="baseline"/>
        <w:rPr>
          <w:rFonts w:ascii="宋体" w:hAnsi="宋体" w:eastAsia="宋体"/>
          <w:color w:val="auto"/>
          <w:sz w:val="22"/>
          <w:szCs w:val="22"/>
          <w:highlight w:val="none"/>
          <w:lang w:eastAsia="zh-CN"/>
        </w:rPr>
      </w:pPr>
      <w:bookmarkStart w:id="87" w:name="_Toc3228"/>
      <w:r>
        <w:rPr>
          <w:rFonts w:hint="eastAsia" w:ascii="宋体" w:hAnsi="宋体" w:eastAsia="宋体"/>
          <w:color w:val="auto"/>
          <w:sz w:val="22"/>
          <w:szCs w:val="22"/>
          <w:highlight w:val="none"/>
          <w:lang w:eastAsia="zh-CN"/>
        </w:rPr>
        <w:t>8、反商业贿赂承诺书</w:t>
      </w:r>
      <w:bookmarkEnd w:id="87"/>
    </w:p>
    <w:p>
      <w:pPr>
        <w:ind w:firstLine="440" w:firstLineChars="200"/>
        <w:textAlignment w:val="baseline"/>
        <w:rPr>
          <w:rFonts w:ascii="宋体" w:hAnsi="宋体" w:eastAsia="宋体"/>
          <w:color w:val="auto"/>
          <w:sz w:val="22"/>
          <w:szCs w:val="22"/>
          <w:highlight w:val="none"/>
          <w:lang w:eastAsia="zh-CN"/>
        </w:rPr>
      </w:pPr>
      <w:bookmarkStart w:id="88" w:name="_Toc2492"/>
      <w:r>
        <w:rPr>
          <w:rFonts w:hint="eastAsia" w:ascii="宋体" w:hAnsi="宋体" w:eastAsia="宋体"/>
          <w:color w:val="auto"/>
          <w:sz w:val="22"/>
          <w:szCs w:val="22"/>
          <w:highlight w:val="none"/>
          <w:lang w:eastAsia="zh-CN"/>
        </w:rPr>
        <w:t>9、中小企业声明函、政府采购政策性规定证明材料等</w:t>
      </w:r>
      <w:bookmarkEnd w:id="88"/>
    </w:p>
    <w:p>
      <w:pPr>
        <w:ind w:firstLine="440" w:firstLineChars="200"/>
        <w:textAlignment w:val="baseline"/>
        <w:rPr>
          <w:rFonts w:ascii="宋体" w:hAnsi="宋体" w:eastAsia="宋体"/>
          <w:color w:val="auto"/>
          <w:sz w:val="22"/>
          <w:szCs w:val="22"/>
          <w:highlight w:val="none"/>
          <w:lang w:eastAsia="zh-CN"/>
        </w:rPr>
      </w:pPr>
      <w:bookmarkStart w:id="89" w:name="_Toc20368"/>
      <w:r>
        <w:rPr>
          <w:rFonts w:hint="eastAsia" w:ascii="宋体" w:hAnsi="宋体" w:eastAsia="宋体"/>
          <w:color w:val="auto"/>
          <w:sz w:val="22"/>
          <w:szCs w:val="22"/>
          <w:highlight w:val="none"/>
          <w:lang w:eastAsia="zh-CN"/>
        </w:rPr>
        <w:t>10、竞争性磋商文件要求供应商提交的其它资料</w:t>
      </w:r>
      <w:bookmarkEnd w:id="89"/>
    </w:p>
    <w:p>
      <w:pPr>
        <w:ind w:firstLine="440" w:firstLineChars="200"/>
        <w:textAlignment w:val="baseline"/>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据此函，签字代表宣布同意如下：</w:t>
      </w:r>
    </w:p>
    <w:p>
      <w:pPr>
        <w:numPr>
          <w:ilvl w:val="0"/>
          <w:numId w:val="2"/>
        </w:numPr>
        <w:ind w:firstLine="440" w:firstLineChars="200"/>
        <w:textAlignment w:val="baseline"/>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所附报价表中规定的应提供和交付的项目包最低报价为：，即（文字表述）。</w:t>
      </w:r>
    </w:p>
    <w:p>
      <w:pPr>
        <w:textAlignment w:val="baseline"/>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2、如果我们的声明书被接受，我们将履行贵方竞争性磋商文件中规定的每一项要求，按期、按质、按量履行合同。</w:t>
      </w:r>
    </w:p>
    <w:p>
      <w:pPr>
        <w:ind w:firstLine="440" w:firstLineChars="200"/>
        <w:textAlignment w:val="baseline"/>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3、我方愿按《中华人民共和国合同法》履行我方的全部责任。</w:t>
      </w:r>
    </w:p>
    <w:p>
      <w:pPr>
        <w:ind w:firstLine="440" w:firstLineChars="200"/>
        <w:textAlignment w:val="baseline"/>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4、我方已详细审查全部磋商文件，包括修改文件以及全部参考资料和有关附件。我们完全理解并同意放弃对这方面有不明及误解的权力。</w:t>
      </w:r>
    </w:p>
    <w:p>
      <w:pPr>
        <w:ind w:firstLine="440" w:firstLineChars="200"/>
        <w:jc w:val="left"/>
        <w:textAlignment w:val="baseline"/>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5、我方同意提供按照贵方可能要求的与其磋商有关的一切数据或资料,理解贵方不一定要接受最低报价的磋商或收到的任何磋商文件。</w:t>
      </w:r>
    </w:p>
    <w:p>
      <w:pPr>
        <w:ind w:firstLine="440" w:firstLineChars="200"/>
        <w:textAlignment w:val="baseline"/>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6、本次采购活动有关的一切正式往来请寄：</w:t>
      </w:r>
    </w:p>
    <w:p>
      <w:pPr>
        <w:ind w:firstLine="440" w:firstLineChars="200"/>
        <w:textAlignment w:val="baseline"/>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地址：</w:t>
      </w:r>
    </w:p>
    <w:p>
      <w:pPr>
        <w:ind w:firstLine="440" w:firstLineChars="200"/>
        <w:textAlignment w:val="baseline"/>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邮政编码：</w:t>
      </w:r>
    </w:p>
    <w:p>
      <w:pPr>
        <w:ind w:firstLine="440" w:firstLineChars="200"/>
        <w:textAlignment w:val="baseline"/>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电话：</w:t>
      </w:r>
    </w:p>
    <w:p>
      <w:pPr>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 xml:space="preserve">法定代表人（签字或盖章）：             </w:t>
      </w:r>
    </w:p>
    <w:p>
      <w:pPr>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被授权人(签字或盖章):</w:t>
      </w:r>
    </w:p>
    <w:p>
      <w:pPr>
        <w:ind w:firstLine="440" w:firstLineChars="200"/>
        <w:textAlignment w:val="baseline"/>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单位名称（加盖公章）：</w:t>
      </w:r>
    </w:p>
    <w:p>
      <w:pPr>
        <w:ind w:firstLine="440" w:firstLineChars="200"/>
        <w:textAlignment w:val="baseline"/>
        <w:rPr>
          <w:rFonts w:ascii="宋体" w:hAnsi="宋体" w:eastAsia="宋体"/>
          <w:color w:val="auto"/>
          <w:highlight w:val="none"/>
          <w:lang w:eastAsia="zh-CN"/>
        </w:rPr>
        <w:sectPr>
          <w:pgSz w:w="11907" w:h="16834"/>
          <w:pgMar w:top="1440" w:right="1080" w:bottom="1440" w:left="1080" w:header="1077" w:footer="1077" w:gutter="0"/>
          <w:cols w:space="708" w:num="1"/>
          <w:docGrid w:type="lines" w:linePitch="327" w:charSpace="0"/>
        </w:sectPr>
      </w:pPr>
      <w:r>
        <w:rPr>
          <w:rFonts w:hint="eastAsia" w:ascii="宋体" w:hAnsi="宋体" w:eastAsia="宋体"/>
          <w:color w:val="auto"/>
          <w:sz w:val="22"/>
          <w:szCs w:val="22"/>
          <w:highlight w:val="none"/>
          <w:lang w:eastAsia="zh-CN"/>
        </w:rPr>
        <w:t>日期：</w:t>
      </w:r>
    </w:p>
    <w:p>
      <w:pPr>
        <w:textAlignment w:val="baseline"/>
        <w:outlineLvl w:val="1"/>
        <w:rPr>
          <w:rFonts w:ascii="宋体" w:hAnsi="宋体" w:eastAsia="宋体"/>
          <w:color w:val="auto"/>
          <w:sz w:val="28"/>
          <w:highlight w:val="none"/>
          <w:lang w:eastAsia="zh-CN"/>
        </w:rPr>
      </w:pPr>
      <w:bookmarkStart w:id="90" w:name="_Toc13285"/>
      <w:r>
        <w:rPr>
          <w:rFonts w:hint="eastAsia" w:ascii="宋体" w:hAnsi="宋体" w:eastAsia="宋体"/>
          <w:color w:val="auto"/>
          <w:sz w:val="28"/>
          <w:highlight w:val="none"/>
          <w:lang w:eastAsia="zh-CN"/>
        </w:rPr>
        <w:t>格式2</w:t>
      </w:r>
      <w:bookmarkEnd w:id="90"/>
    </w:p>
    <w:p>
      <w:pPr>
        <w:jc w:val="center"/>
        <w:outlineLvl w:val="2"/>
        <w:rPr>
          <w:rFonts w:ascii="宋体" w:hAnsi="宋体" w:eastAsia="宋体"/>
          <w:color w:val="auto"/>
          <w:sz w:val="28"/>
          <w:highlight w:val="none"/>
          <w:lang w:eastAsia="zh-CN"/>
        </w:rPr>
      </w:pPr>
      <w:bookmarkStart w:id="91" w:name="_Toc25560"/>
      <w:bookmarkStart w:id="92" w:name="_Toc32489"/>
      <w:r>
        <w:rPr>
          <w:rFonts w:hint="eastAsia" w:ascii="宋体" w:hAnsi="宋体" w:eastAsia="宋体"/>
          <w:b/>
          <w:bCs/>
          <w:color w:val="auto"/>
          <w:sz w:val="36"/>
          <w:highlight w:val="none"/>
          <w:lang w:eastAsia="zh-CN"/>
        </w:rPr>
        <w:t>报价一览表</w:t>
      </w:r>
      <w:bookmarkEnd w:id="91"/>
      <w:bookmarkEnd w:id="92"/>
    </w:p>
    <w:p>
      <w:pPr>
        <w:jc w:val="left"/>
        <w:rPr>
          <w:rFonts w:ascii="宋体" w:hAnsi="宋体" w:eastAsia="宋体"/>
          <w:b/>
          <w:bCs/>
          <w:color w:val="auto"/>
          <w:sz w:val="22"/>
          <w:szCs w:val="22"/>
          <w:highlight w:val="none"/>
          <w:lang w:eastAsia="zh-CN"/>
        </w:rPr>
      </w:pPr>
      <w:r>
        <w:rPr>
          <w:rFonts w:hint="eastAsia" w:ascii="宋体" w:hAnsi="宋体" w:eastAsia="宋体"/>
          <w:color w:val="auto"/>
          <w:sz w:val="22"/>
          <w:szCs w:val="22"/>
          <w:highlight w:val="none"/>
          <w:lang w:eastAsia="zh-CN"/>
        </w:rPr>
        <w:t>供应商名称：                                文件编号：</w:t>
      </w:r>
    </w:p>
    <w:tbl>
      <w:tblPr>
        <w:tblStyle w:val="28"/>
        <w:tblW w:w="0" w:type="auto"/>
        <w:tblInd w:w="-1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97"/>
        <w:gridCol w:w="911"/>
        <w:gridCol w:w="637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7" w:hRule="atLeast"/>
        </w:trPr>
        <w:tc>
          <w:tcPr>
            <w:tcW w:w="2297" w:type="dxa"/>
            <w:vAlign w:val="center"/>
          </w:tcPr>
          <w:p>
            <w:pPr>
              <w:widowControl/>
              <w:jc w:val="center"/>
              <w:rPr>
                <w:rFonts w:ascii="宋体" w:hAnsi="宋体" w:eastAsia="宋体"/>
                <w:b/>
                <w:color w:val="auto"/>
                <w:sz w:val="22"/>
                <w:szCs w:val="22"/>
                <w:highlight w:val="none"/>
              </w:rPr>
            </w:pPr>
            <w:r>
              <w:rPr>
                <w:rFonts w:hint="eastAsia" w:ascii="宋体" w:hAnsi="宋体" w:eastAsia="宋体"/>
                <w:b/>
                <w:color w:val="auto"/>
                <w:sz w:val="22"/>
                <w:szCs w:val="22"/>
                <w:highlight w:val="none"/>
                <w:lang w:eastAsia="zh-CN"/>
              </w:rPr>
              <w:t>项目</w:t>
            </w:r>
            <w:r>
              <w:rPr>
                <w:rFonts w:hint="eastAsia" w:ascii="宋体" w:hAnsi="宋体" w:eastAsia="宋体"/>
                <w:b/>
                <w:color w:val="auto"/>
                <w:sz w:val="22"/>
                <w:szCs w:val="22"/>
                <w:highlight w:val="none"/>
              </w:rPr>
              <w:t>名称</w:t>
            </w:r>
          </w:p>
        </w:tc>
        <w:tc>
          <w:tcPr>
            <w:tcW w:w="7283" w:type="dxa"/>
            <w:gridSpan w:val="2"/>
            <w:vAlign w:val="center"/>
          </w:tcPr>
          <w:p>
            <w:pPr>
              <w:widowControl/>
              <w:jc w:val="center"/>
              <w:rPr>
                <w:rFonts w:ascii="宋体" w:hAnsi="宋体" w:eastAsia="宋体"/>
                <w:b/>
                <w:color w:val="auto"/>
                <w:sz w:val="22"/>
                <w:szCs w:val="22"/>
                <w:highlight w:val="none"/>
                <w:lang w:eastAsia="zh-CN"/>
              </w:rPr>
            </w:pPr>
            <w:r>
              <w:rPr>
                <w:rFonts w:hint="eastAsia" w:ascii="宋体" w:hAnsi="宋体" w:eastAsia="宋体"/>
                <w:color w:val="auto"/>
                <w:sz w:val="22"/>
                <w:szCs w:val="22"/>
                <w:highlight w:val="none"/>
                <w:lang w:eastAsia="zh-CN"/>
              </w:rPr>
              <w:t>项目包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6" w:hRule="atLeast"/>
        </w:trPr>
        <w:tc>
          <w:tcPr>
            <w:tcW w:w="2297" w:type="dxa"/>
            <w:vMerge w:val="restart"/>
            <w:vAlign w:val="center"/>
          </w:tcPr>
          <w:p>
            <w:pPr>
              <w:widowControl/>
              <w:jc w:val="center"/>
              <w:rPr>
                <w:rFonts w:ascii="宋体" w:hAnsi="宋体" w:eastAsia="宋体"/>
                <w:b/>
                <w:color w:val="auto"/>
                <w:sz w:val="22"/>
                <w:szCs w:val="22"/>
                <w:highlight w:val="none"/>
              </w:rPr>
            </w:pPr>
            <w:r>
              <w:rPr>
                <w:rFonts w:hint="eastAsia" w:ascii="宋体" w:hAnsi="宋体" w:eastAsia="宋体"/>
                <w:b/>
                <w:color w:val="auto"/>
                <w:sz w:val="22"/>
                <w:szCs w:val="22"/>
                <w:highlight w:val="none"/>
                <w:lang w:eastAsia="zh-CN"/>
              </w:rPr>
              <w:t>报价</w:t>
            </w:r>
          </w:p>
        </w:tc>
        <w:tc>
          <w:tcPr>
            <w:tcW w:w="911" w:type="dxa"/>
            <w:tcBorders>
              <w:bottom w:val="single" w:color="auto" w:sz="4" w:space="0"/>
              <w:right w:val="single" w:color="auto" w:sz="4" w:space="0"/>
            </w:tcBorders>
            <w:vAlign w:val="center"/>
          </w:tcPr>
          <w:p>
            <w:pPr>
              <w:widowControl/>
              <w:jc w:val="center"/>
              <w:rPr>
                <w:rFonts w:ascii="宋体" w:hAnsi="宋体" w:eastAsia="宋体"/>
                <w:b/>
                <w:color w:val="auto"/>
                <w:sz w:val="22"/>
                <w:szCs w:val="22"/>
                <w:highlight w:val="none"/>
                <w:lang w:eastAsia="zh-CN"/>
              </w:rPr>
            </w:pPr>
            <w:r>
              <w:rPr>
                <w:rFonts w:hint="eastAsia" w:ascii="宋体" w:hAnsi="宋体" w:eastAsia="宋体"/>
                <w:b/>
                <w:color w:val="auto"/>
                <w:sz w:val="22"/>
                <w:szCs w:val="22"/>
                <w:highlight w:val="none"/>
                <w:lang w:eastAsia="zh-CN"/>
              </w:rPr>
              <w:t>小写</w:t>
            </w:r>
          </w:p>
        </w:tc>
        <w:tc>
          <w:tcPr>
            <w:tcW w:w="6372" w:type="dxa"/>
            <w:tcBorders>
              <w:left w:val="single" w:color="auto" w:sz="4" w:space="0"/>
              <w:bottom w:val="single" w:color="auto" w:sz="4" w:space="0"/>
            </w:tcBorders>
            <w:vAlign w:val="center"/>
          </w:tcPr>
          <w:p>
            <w:pPr>
              <w:widowControl/>
              <w:jc w:val="center"/>
              <w:rPr>
                <w:rFonts w:ascii="宋体" w:hAnsi="宋体" w:eastAsia="宋体"/>
                <w:b/>
                <w:color w:val="auto"/>
                <w:sz w:val="22"/>
                <w:szCs w:val="22"/>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0" w:hRule="atLeast"/>
        </w:trPr>
        <w:tc>
          <w:tcPr>
            <w:tcW w:w="2297" w:type="dxa"/>
            <w:vMerge w:val="continue"/>
            <w:tcBorders>
              <w:bottom w:val="single" w:color="auto" w:sz="4" w:space="0"/>
            </w:tcBorders>
            <w:vAlign w:val="center"/>
          </w:tcPr>
          <w:p>
            <w:pPr>
              <w:widowControl/>
              <w:jc w:val="left"/>
              <w:rPr>
                <w:rFonts w:ascii="宋体" w:hAnsi="宋体" w:eastAsia="宋体"/>
                <w:b/>
                <w:color w:val="auto"/>
                <w:sz w:val="22"/>
                <w:szCs w:val="22"/>
                <w:highlight w:val="none"/>
              </w:rPr>
            </w:pPr>
          </w:p>
        </w:tc>
        <w:tc>
          <w:tcPr>
            <w:tcW w:w="911" w:type="dxa"/>
            <w:tcBorders>
              <w:top w:val="single" w:color="auto" w:sz="4" w:space="0"/>
              <w:bottom w:val="single" w:color="auto" w:sz="4" w:space="0"/>
              <w:right w:val="single" w:color="auto" w:sz="4" w:space="0"/>
            </w:tcBorders>
            <w:vAlign w:val="center"/>
          </w:tcPr>
          <w:p>
            <w:pPr>
              <w:widowControl/>
              <w:jc w:val="center"/>
              <w:rPr>
                <w:rFonts w:ascii="宋体" w:hAnsi="宋体" w:eastAsia="宋体"/>
                <w:b/>
                <w:color w:val="auto"/>
                <w:sz w:val="22"/>
                <w:szCs w:val="22"/>
                <w:highlight w:val="none"/>
                <w:lang w:eastAsia="zh-CN"/>
              </w:rPr>
            </w:pPr>
            <w:r>
              <w:rPr>
                <w:rFonts w:hint="eastAsia" w:ascii="宋体" w:hAnsi="宋体" w:eastAsia="宋体"/>
                <w:b/>
                <w:color w:val="auto"/>
                <w:sz w:val="22"/>
                <w:szCs w:val="22"/>
                <w:highlight w:val="none"/>
                <w:lang w:eastAsia="zh-CN"/>
              </w:rPr>
              <w:t>大写</w:t>
            </w:r>
          </w:p>
        </w:tc>
        <w:tc>
          <w:tcPr>
            <w:tcW w:w="6372" w:type="dxa"/>
            <w:tcBorders>
              <w:top w:val="single" w:color="auto" w:sz="4" w:space="0"/>
              <w:left w:val="single" w:color="auto" w:sz="4" w:space="0"/>
              <w:bottom w:val="single" w:color="auto" w:sz="4" w:space="0"/>
            </w:tcBorders>
            <w:vAlign w:val="center"/>
          </w:tcPr>
          <w:p>
            <w:pPr>
              <w:widowControl/>
              <w:jc w:val="center"/>
              <w:rPr>
                <w:rFonts w:ascii="宋体" w:hAnsi="宋体" w:eastAsia="宋体"/>
                <w:b/>
                <w:color w:val="auto"/>
                <w:sz w:val="22"/>
                <w:szCs w:val="22"/>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0" w:hRule="atLeast"/>
        </w:trPr>
        <w:tc>
          <w:tcPr>
            <w:tcW w:w="2297" w:type="dxa"/>
            <w:tcBorders>
              <w:bottom w:val="single" w:color="auto" w:sz="4" w:space="0"/>
            </w:tcBorders>
            <w:vAlign w:val="center"/>
          </w:tcPr>
          <w:p>
            <w:pPr>
              <w:widowControl/>
              <w:jc w:val="center"/>
              <w:rPr>
                <w:rFonts w:ascii="宋体" w:hAnsi="宋体" w:eastAsia="宋体"/>
                <w:b/>
                <w:color w:val="auto"/>
                <w:sz w:val="22"/>
                <w:szCs w:val="22"/>
                <w:highlight w:val="none"/>
                <w:lang w:eastAsia="zh-CN"/>
              </w:rPr>
            </w:pPr>
            <w:r>
              <w:rPr>
                <w:rFonts w:hint="eastAsia" w:ascii="宋体" w:hAnsi="宋体" w:eastAsia="宋体"/>
                <w:b/>
                <w:color w:val="auto"/>
                <w:sz w:val="22"/>
                <w:szCs w:val="22"/>
                <w:highlight w:val="none"/>
                <w:lang w:eastAsia="zh-CN"/>
              </w:rPr>
              <w:t>服务期</w:t>
            </w:r>
          </w:p>
        </w:tc>
        <w:tc>
          <w:tcPr>
            <w:tcW w:w="7283" w:type="dxa"/>
            <w:gridSpan w:val="2"/>
            <w:tcBorders>
              <w:top w:val="single" w:color="auto" w:sz="4" w:space="0"/>
              <w:bottom w:val="single" w:color="auto" w:sz="4" w:space="0"/>
            </w:tcBorders>
            <w:vAlign w:val="center"/>
          </w:tcPr>
          <w:p>
            <w:pPr>
              <w:widowControl/>
              <w:jc w:val="center"/>
              <w:rPr>
                <w:rFonts w:ascii="宋体" w:hAnsi="宋体" w:eastAsia="宋体"/>
                <w:b/>
                <w:color w:val="auto"/>
                <w:sz w:val="22"/>
                <w:szCs w:val="22"/>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2297" w:type="dxa"/>
            <w:tcBorders>
              <w:top w:val="single" w:color="auto" w:sz="4" w:space="0"/>
            </w:tcBorders>
            <w:vAlign w:val="center"/>
          </w:tcPr>
          <w:p>
            <w:pPr>
              <w:widowControl/>
              <w:jc w:val="center"/>
              <w:rPr>
                <w:rFonts w:ascii="宋体" w:hAnsi="宋体" w:eastAsia="宋体"/>
                <w:b/>
                <w:color w:val="auto"/>
                <w:sz w:val="22"/>
                <w:szCs w:val="22"/>
                <w:highlight w:val="none"/>
                <w:lang w:eastAsia="zh-CN"/>
              </w:rPr>
            </w:pPr>
            <w:r>
              <w:rPr>
                <w:rFonts w:hint="eastAsia" w:ascii="宋体" w:hAnsi="宋体" w:eastAsia="宋体"/>
                <w:b/>
                <w:color w:val="auto"/>
                <w:sz w:val="22"/>
                <w:szCs w:val="22"/>
                <w:highlight w:val="none"/>
                <w:lang w:eastAsia="zh-CN"/>
              </w:rPr>
              <w:t>备注</w:t>
            </w:r>
          </w:p>
        </w:tc>
        <w:tc>
          <w:tcPr>
            <w:tcW w:w="7283" w:type="dxa"/>
            <w:gridSpan w:val="2"/>
            <w:tcBorders>
              <w:top w:val="single" w:color="auto" w:sz="4" w:space="0"/>
            </w:tcBorders>
            <w:vAlign w:val="center"/>
          </w:tcPr>
          <w:p>
            <w:pPr>
              <w:widowControl/>
              <w:jc w:val="center"/>
              <w:rPr>
                <w:rFonts w:ascii="宋体" w:hAnsi="宋体" w:eastAsia="宋体"/>
                <w:b/>
                <w:color w:val="auto"/>
                <w:sz w:val="22"/>
                <w:szCs w:val="22"/>
                <w:highlight w:val="none"/>
                <w:lang w:eastAsia="zh-CN"/>
              </w:rPr>
            </w:pPr>
          </w:p>
        </w:tc>
      </w:tr>
    </w:tbl>
    <w:p>
      <w:pPr>
        <w:rPr>
          <w:rFonts w:ascii="宋体" w:hAnsi="宋体" w:eastAsia="宋体"/>
          <w:b/>
          <w:bCs/>
          <w:color w:val="auto"/>
          <w:sz w:val="22"/>
          <w:szCs w:val="22"/>
          <w:highlight w:val="none"/>
        </w:rPr>
      </w:pPr>
    </w:p>
    <w:p>
      <w:pPr>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 xml:space="preserve">  法定代表人或被授权人代表（签字或盖章）：                单位名称（加盖公章）：</w:t>
      </w:r>
    </w:p>
    <w:p>
      <w:pPr>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 xml:space="preserve">  职  务：                                       日  期：</w:t>
      </w:r>
    </w:p>
    <w:p>
      <w:pPr>
        <w:rPr>
          <w:rFonts w:ascii="宋体" w:hAnsi="宋体" w:eastAsia="宋体"/>
          <w:color w:val="auto"/>
          <w:sz w:val="22"/>
          <w:szCs w:val="22"/>
          <w:highlight w:val="none"/>
          <w:lang w:eastAsia="zh-CN"/>
        </w:rPr>
        <w:sectPr>
          <w:pgSz w:w="11907" w:h="16834"/>
          <w:pgMar w:top="1440" w:right="1080" w:bottom="1440" w:left="1080" w:header="1077" w:footer="1077" w:gutter="0"/>
          <w:cols w:space="708" w:num="1"/>
          <w:docGrid w:type="lines" w:linePitch="327" w:charSpace="0"/>
        </w:sectPr>
      </w:pPr>
      <w:r>
        <w:rPr>
          <w:rFonts w:hint="eastAsia" w:ascii="宋体" w:hAnsi="宋体" w:eastAsia="宋体"/>
          <w:color w:val="auto"/>
          <w:sz w:val="22"/>
          <w:szCs w:val="22"/>
          <w:highlight w:val="none"/>
          <w:lang w:eastAsia="zh-CN"/>
        </w:rPr>
        <w:t xml:space="preserve">  联系方式：</w:t>
      </w:r>
    </w:p>
    <w:p>
      <w:pPr>
        <w:shd w:val="clear" w:color="FFFFFF" w:fill="auto"/>
        <w:autoSpaceDN w:val="0"/>
        <w:spacing w:line="360" w:lineRule="auto"/>
        <w:jc w:val="left"/>
        <w:outlineLvl w:val="1"/>
        <w:rPr>
          <w:rFonts w:ascii="宋体" w:hAnsi="宋体" w:eastAsia="宋体"/>
          <w:b/>
          <w:bCs/>
          <w:color w:val="auto"/>
          <w:sz w:val="32"/>
          <w:szCs w:val="32"/>
          <w:highlight w:val="none"/>
          <w:lang w:eastAsia="zh-CN"/>
        </w:rPr>
      </w:pPr>
      <w:bookmarkStart w:id="93" w:name="_Toc27292"/>
      <w:r>
        <w:rPr>
          <w:rFonts w:hint="eastAsia" w:ascii="宋体" w:hAnsi="宋体" w:eastAsia="宋体"/>
          <w:color w:val="auto"/>
          <w:sz w:val="32"/>
          <w:szCs w:val="32"/>
          <w:highlight w:val="none"/>
          <w:shd w:val="clear" w:color="auto" w:fill="FFFFFF"/>
          <w:lang w:eastAsia="zh-CN"/>
        </w:rPr>
        <w:t>格式3</w:t>
      </w:r>
      <w:bookmarkEnd w:id="93"/>
    </w:p>
    <w:p>
      <w:pPr>
        <w:shd w:val="clear" w:color="FFFFFF" w:fill="auto"/>
        <w:autoSpaceDN w:val="0"/>
        <w:spacing w:line="360" w:lineRule="auto"/>
        <w:jc w:val="center"/>
        <w:outlineLvl w:val="2"/>
        <w:rPr>
          <w:rFonts w:ascii="宋体" w:hAnsi="宋体" w:eastAsia="宋体"/>
          <w:b/>
          <w:bCs/>
          <w:color w:val="auto"/>
          <w:sz w:val="36"/>
          <w:highlight w:val="none"/>
          <w:lang w:eastAsia="zh-CN"/>
        </w:rPr>
      </w:pPr>
      <w:bookmarkStart w:id="94" w:name="_Toc26086"/>
      <w:bookmarkStart w:id="95" w:name="_Toc12804"/>
      <w:r>
        <w:rPr>
          <w:rFonts w:hint="eastAsia" w:ascii="宋体" w:hAnsi="宋体" w:eastAsia="宋体"/>
          <w:b/>
          <w:bCs/>
          <w:color w:val="auto"/>
          <w:sz w:val="36"/>
          <w:highlight w:val="none"/>
          <w:lang w:eastAsia="zh-CN"/>
        </w:rPr>
        <w:t>详细服务计划</w:t>
      </w:r>
      <w:bookmarkEnd w:id="94"/>
      <w:bookmarkEnd w:id="95"/>
    </w:p>
    <w:p>
      <w:pPr>
        <w:spacing w:line="360" w:lineRule="auto"/>
        <w:ind w:firstLine="422" w:firstLineChars="200"/>
        <w:rPr>
          <w:rFonts w:ascii="宋体" w:hAnsi="宋体" w:eastAsia="宋体"/>
          <w:color w:val="auto"/>
          <w:highlight w:val="none"/>
          <w:lang w:eastAsia="zh-CN"/>
        </w:rPr>
        <w:sectPr>
          <w:pgSz w:w="11907" w:h="16834"/>
          <w:pgMar w:top="1440" w:right="1080" w:bottom="1440" w:left="1080" w:header="1077" w:footer="1077" w:gutter="0"/>
          <w:cols w:space="708" w:num="1"/>
          <w:docGrid w:type="lines" w:linePitch="327" w:charSpace="0"/>
        </w:sectPr>
      </w:pPr>
      <w:r>
        <w:rPr>
          <w:rFonts w:hint="eastAsia" w:ascii="宋体" w:hAnsi="宋体" w:eastAsia="宋体"/>
          <w:b/>
          <w:bCs/>
          <w:color w:val="auto"/>
          <w:sz w:val="21"/>
          <w:szCs w:val="21"/>
          <w:highlight w:val="none"/>
          <w:lang w:eastAsia="zh-CN"/>
        </w:rPr>
        <w:t>根据磋商文件第四部分项目技术要求制定详细的服务计划，并对要求的内容做出承诺。</w:t>
      </w:r>
    </w:p>
    <w:p>
      <w:pPr>
        <w:spacing w:line="360" w:lineRule="auto"/>
        <w:jc w:val="left"/>
        <w:outlineLvl w:val="1"/>
        <w:rPr>
          <w:rFonts w:ascii="宋体" w:hAnsi="宋体" w:eastAsia="宋体"/>
          <w:bCs/>
          <w:color w:val="auto"/>
          <w:sz w:val="28"/>
          <w:szCs w:val="28"/>
          <w:highlight w:val="none"/>
          <w:lang w:eastAsia="zh-CN"/>
        </w:rPr>
      </w:pPr>
      <w:bookmarkStart w:id="96" w:name="_Toc2806"/>
      <w:r>
        <w:rPr>
          <w:rFonts w:hint="eastAsia" w:ascii="宋体" w:hAnsi="宋体" w:eastAsia="宋体"/>
          <w:bCs/>
          <w:color w:val="auto"/>
          <w:sz w:val="28"/>
          <w:szCs w:val="28"/>
          <w:highlight w:val="none"/>
          <w:lang w:eastAsia="zh-CN"/>
        </w:rPr>
        <w:t>格式4</w:t>
      </w:r>
      <w:bookmarkEnd w:id="96"/>
    </w:p>
    <w:p>
      <w:pPr>
        <w:spacing w:line="360" w:lineRule="auto"/>
        <w:ind w:firstLine="3253" w:firstLineChars="900"/>
        <w:outlineLvl w:val="2"/>
        <w:rPr>
          <w:rFonts w:ascii="宋体" w:hAnsi="宋体" w:eastAsia="宋体"/>
          <w:b/>
          <w:color w:val="auto"/>
          <w:sz w:val="36"/>
          <w:szCs w:val="36"/>
          <w:highlight w:val="none"/>
          <w:lang w:eastAsia="zh-CN"/>
        </w:rPr>
      </w:pPr>
      <w:bookmarkStart w:id="97" w:name="_Toc17899"/>
      <w:r>
        <w:rPr>
          <w:rFonts w:hint="eastAsia" w:ascii="宋体" w:hAnsi="宋体" w:eastAsia="宋体"/>
          <w:b/>
          <w:color w:val="auto"/>
          <w:sz w:val="36"/>
          <w:szCs w:val="36"/>
          <w:highlight w:val="none"/>
          <w:lang w:eastAsia="zh-CN"/>
        </w:rPr>
        <w:t>关于资格的声明函</w:t>
      </w:r>
      <w:bookmarkEnd w:id="97"/>
    </w:p>
    <w:p>
      <w:pPr>
        <w:spacing w:line="360" w:lineRule="auto"/>
        <w:ind w:firstLine="560"/>
        <w:jc w:val="center"/>
        <w:rPr>
          <w:rFonts w:ascii="宋体" w:hAnsi="宋体" w:eastAsia="宋体"/>
          <w:color w:val="auto"/>
          <w:sz w:val="28"/>
          <w:highlight w:val="none"/>
          <w:lang w:eastAsia="zh-CN"/>
        </w:rPr>
      </w:pPr>
    </w:p>
    <w:p>
      <w:pPr>
        <w:spacing w:line="360" w:lineRule="auto"/>
        <w:ind w:firstLine="560"/>
        <w:textAlignment w:val="baseline"/>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关于贵方年月日（开标日期）组织的竞争性磋商项目包（文件编号为：）的采购邀请，本签字人愿意参加磋商，并声明提交的下列文件是合法的、有效的。</w:t>
      </w:r>
    </w:p>
    <w:p>
      <w:pPr>
        <w:spacing w:line="360" w:lineRule="auto"/>
        <w:ind w:firstLine="420" w:firstLineChars="200"/>
        <w:textAlignment w:val="baseline"/>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1、营业执照原件、税务登记证原件及项目要求的其他资质证件</w:t>
      </w:r>
      <w:r>
        <w:rPr>
          <w:rFonts w:hint="eastAsia" w:ascii="宋体" w:hAnsi="宋体" w:eastAsia="宋体"/>
          <w:color w:val="auto"/>
          <w:sz w:val="21"/>
          <w:szCs w:val="21"/>
          <w:highlight w:val="none"/>
          <w:shd w:val="clear" w:color="auto" w:fill="FFFFFF"/>
          <w:lang w:eastAsia="zh-CN"/>
        </w:rPr>
        <w:t>。</w:t>
      </w:r>
    </w:p>
    <w:p>
      <w:pPr>
        <w:spacing w:line="360" w:lineRule="auto"/>
        <w:ind w:firstLine="420" w:firstLineChars="200"/>
        <w:textAlignment w:val="baseline"/>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2、法定代表人身份证或法定代表人授权书、法定代表人授权代表身份证。</w:t>
      </w:r>
    </w:p>
    <w:p>
      <w:pPr>
        <w:spacing w:line="360" w:lineRule="auto"/>
        <w:ind w:firstLine="420" w:firstLineChars="200"/>
        <w:textAlignment w:val="baseline"/>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3、其它证明材料。</w:t>
      </w:r>
    </w:p>
    <w:p>
      <w:pPr>
        <w:pStyle w:val="26"/>
        <w:spacing w:line="360" w:lineRule="auto"/>
        <w:ind w:firstLine="210"/>
        <w:rPr>
          <w:rFonts w:ascii="宋体" w:hAnsi="宋体" w:eastAsia="宋体"/>
          <w:color w:val="auto"/>
          <w:sz w:val="21"/>
          <w:szCs w:val="21"/>
          <w:highlight w:val="none"/>
          <w:lang w:eastAsia="zh-CN"/>
        </w:rPr>
      </w:pPr>
    </w:p>
    <w:p>
      <w:pPr>
        <w:spacing w:line="360" w:lineRule="auto"/>
        <w:ind w:firstLine="560"/>
        <w:textAlignment w:val="baseline"/>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本签字人确认资格文件中的说明是合法的、有效的。</w:t>
      </w:r>
    </w:p>
    <w:p>
      <w:pPr>
        <w:pStyle w:val="26"/>
        <w:spacing w:line="360" w:lineRule="auto"/>
        <w:ind w:firstLine="210"/>
        <w:rPr>
          <w:rFonts w:ascii="宋体" w:hAnsi="宋体" w:eastAsia="宋体"/>
          <w:color w:val="auto"/>
          <w:sz w:val="21"/>
          <w:szCs w:val="21"/>
          <w:highlight w:val="none"/>
          <w:lang w:eastAsia="zh-CN"/>
        </w:rPr>
      </w:pP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单位名称</w:t>
      </w:r>
      <w:r>
        <w:rPr>
          <w:rFonts w:hint="eastAsia" w:ascii="宋体" w:hAnsi="宋体" w:eastAsia="宋体"/>
          <w:color w:val="auto"/>
          <w:sz w:val="22"/>
          <w:szCs w:val="22"/>
          <w:highlight w:val="none"/>
          <w:lang w:eastAsia="zh-CN"/>
        </w:rPr>
        <w:t>（加盖公章）：</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 xml:space="preserve">法定代表人（签字或盖章）：             </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被授权人(签字或盖章):</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电话：</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 xml:space="preserve">地址:                               </w:t>
      </w:r>
    </w:p>
    <w:p>
      <w:pPr>
        <w:spacing w:line="360" w:lineRule="auto"/>
        <w:ind w:firstLine="420" w:firstLineChars="200"/>
        <w:rPr>
          <w:rFonts w:ascii="宋体" w:hAnsi="宋体" w:eastAsia="宋体"/>
          <w:color w:val="auto"/>
          <w:highlight w:val="none"/>
          <w:lang w:eastAsia="zh-CN"/>
        </w:rPr>
        <w:sectPr>
          <w:pgSz w:w="11907" w:h="16834"/>
          <w:pgMar w:top="1440" w:right="1080" w:bottom="1440" w:left="1080" w:header="1077" w:footer="1077" w:gutter="0"/>
          <w:cols w:space="708" w:num="1"/>
          <w:docGrid w:type="lines" w:linePitch="327" w:charSpace="0"/>
        </w:sectPr>
      </w:pPr>
      <w:r>
        <w:rPr>
          <w:rFonts w:hint="eastAsia" w:ascii="宋体" w:hAnsi="宋体" w:eastAsia="宋体"/>
          <w:color w:val="auto"/>
          <w:sz w:val="21"/>
          <w:szCs w:val="21"/>
          <w:highlight w:val="none"/>
          <w:lang w:eastAsia="zh-CN"/>
        </w:rPr>
        <w:t>邮政编码：</w:t>
      </w:r>
    </w:p>
    <w:p>
      <w:pPr>
        <w:spacing w:line="360" w:lineRule="auto"/>
        <w:outlineLvl w:val="1"/>
        <w:rPr>
          <w:rFonts w:ascii="宋体" w:hAnsi="宋体" w:eastAsia="宋体"/>
          <w:color w:val="auto"/>
          <w:sz w:val="28"/>
          <w:highlight w:val="none"/>
          <w:lang w:eastAsia="zh-CN"/>
        </w:rPr>
      </w:pPr>
      <w:bookmarkStart w:id="98" w:name="_Toc2514"/>
      <w:r>
        <w:rPr>
          <w:rFonts w:hint="eastAsia" w:ascii="宋体" w:hAnsi="宋体" w:eastAsia="宋体"/>
          <w:color w:val="auto"/>
          <w:sz w:val="28"/>
          <w:highlight w:val="none"/>
          <w:lang w:eastAsia="zh-CN"/>
        </w:rPr>
        <w:t>格式5</w:t>
      </w:r>
      <w:bookmarkEnd w:id="98"/>
    </w:p>
    <w:p>
      <w:pPr>
        <w:widowControl/>
        <w:spacing w:line="360" w:lineRule="auto"/>
        <w:jc w:val="center"/>
        <w:outlineLvl w:val="2"/>
        <w:rPr>
          <w:rFonts w:ascii="宋体" w:hAnsi="宋体" w:eastAsia="宋体"/>
          <w:b/>
          <w:color w:val="auto"/>
          <w:sz w:val="36"/>
          <w:szCs w:val="36"/>
          <w:highlight w:val="none"/>
          <w:lang w:eastAsia="zh-CN"/>
        </w:rPr>
      </w:pPr>
      <w:bookmarkStart w:id="99" w:name="_Toc17977"/>
      <w:bookmarkStart w:id="100" w:name="_Toc14626"/>
      <w:r>
        <w:rPr>
          <w:rFonts w:hint="eastAsia" w:ascii="宋体" w:hAnsi="宋体" w:eastAsia="宋体"/>
          <w:b/>
          <w:color w:val="auto"/>
          <w:sz w:val="36"/>
          <w:szCs w:val="36"/>
          <w:highlight w:val="none"/>
          <w:lang w:eastAsia="zh-CN"/>
        </w:rPr>
        <w:t>法定代表人身份证明书</w:t>
      </w:r>
      <w:bookmarkEnd w:id="99"/>
      <w:bookmarkEnd w:id="100"/>
    </w:p>
    <w:p>
      <w:pPr>
        <w:widowControl/>
        <w:spacing w:line="360" w:lineRule="auto"/>
        <w:jc w:val="left"/>
        <w:rPr>
          <w:rFonts w:ascii="宋体" w:hAnsi="宋体" w:eastAsia="宋体"/>
          <w:color w:val="auto"/>
          <w:sz w:val="28"/>
          <w:highlight w:val="none"/>
          <w:lang w:eastAsia="zh-CN"/>
        </w:rPr>
      </w:pPr>
    </w:p>
    <w:p>
      <w:pPr>
        <w:widowControl/>
        <w:spacing w:line="360" w:lineRule="auto"/>
        <w:jc w:val="left"/>
        <w:rPr>
          <w:rFonts w:ascii="宋体" w:hAnsi="宋体" w:eastAsia="宋体"/>
          <w:color w:val="auto"/>
          <w:sz w:val="28"/>
          <w:highlight w:val="none"/>
          <w:lang w:eastAsia="zh-CN"/>
        </w:rPr>
      </w:pPr>
    </w:p>
    <w:p>
      <w:pPr>
        <w:widowControl/>
        <w:spacing w:line="360" w:lineRule="auto"/>
        <w:ind w:firstLine="420" w:firstLineChars="200"/>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法定代表人</w:t>
      </w:r>
      <w:r>
        <w:rPr>
          <w:rFonts w:hint="eastAsia" w:ascii="宋体" w:hAnsi="宋体" w:eastAsia="宋体"/>
          <w:color w:val="auto"/>
          <w:sz w:val="21"/>
          <w:szCs w:val="21"/>
          <w:highlight w:val="none"/>
          <w:u w:val="single"/>
          <w:lang w:eastAsia="zh-CN"/>
        </w:rPr>
        <w:t xml:space="preserve">姓名 </w:t>
      </w:r>
      <w:r>
        <w:rPr>
          <w:rFonts w:hint="eastAsia" w:ascii="宋体" w:hAnsi="宋体" w:eastAsia="宋体"/>
          <w:color w:val="auto"/>
          <w:sz w:val="21"/>
          <w:szCs w:val="21"/>
          <w:highlight w:val="none"/>
          <w:lang w:eastAsia="zh-CN"/>
        </w:rPr>
        <w:t>在我公司（或企业、单位）任（董事长、经理、厂长）职务，是我</w:t>
      </w:r>
      <w:r>
        <w:rPr>
          <w:rFonts w:hint="eastAsia" w:ascii="宋体" w:hAnsi="宋体" w:eastAsia="宋体"/>
          <w:color w:val="auto"/>
          <w:sz w:val="21"/>
          <w:szCs w:val="21"/>
          <w:highlight w:val="none"/>
          <w:u w:val="single"/>
          <w:lang w:eastAsia="zh-CN"/>
        </w:rPr>
        <w:t xml:space="preserve">     （公司全称）    </w:t>
      </w:r>
      <w:r>
        <w:rPr>
          <w:rFonts w:hint="eastAsia" w:ascii="宋体" w:hAnsi="宋体" w:eastAsia="宋体"/>
          <w:color w:val="auto"/>
          <w:sz w:val="21"/>
          <w:szCs w:val="21"/>
          <w:highlight w:val="none"/>
          <w:lang w:eastAsia="zh-CN"/>
        </w:rPr>
        <w:t>的法定代表人。现就参加</w:t>
      </w:r>
      <w:r>
        <w:rPr>
          <w:rFonts w:hint="eastAsia" w:ascii="宋体" w:hAnsi="宋体" w:eastAsia="宋体"/>
          <w:color w:val="auto"/>
          <w:sz w:val="21"/>
          <w:szCs w:val="21"/>
          <w:highlight w:val="none"/>
          <w:u w:val="single"/>
          <w:lang w:eastAsia="zh-CN"/>
        </w:rPr>
        <w:t xml:space="preserve">         （采购项目名称）   包（项目编号）    </w:t>
      </w:r>
      <w:r>
        <w:rPr>
          <w:rFonts w:hint="eastAsia" w:ascii="宋体" w:hAnsi="宋体" w:eastAsia="宋体"/>
          <w:color w:val="auto"/>
          <w:sz w:val="21"/>
          <w:szCs w:val="21"/>
          <w:highlight w:val="none"/>
          <w:lang w:eastAsia="zh-CN"/>
        </w:rPr>
        <w:t>的投标签署投标文件。</w:t>
      </w:r>
    </w:p>
    <w:p>
      <w:pPr>
        <w:widowControl/>
        <w:spacing w:line="360" w:lineRule="auto"/>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特此证明。</w:t>
      </w:r>
    </w:p>
    <w:p>
      <w:pPr>
        <w:widowControl/>
        <w:spacing w:line="360" w:lineRule="auto"/>
        <w:jc w:val="center"/>
        <w:rPr>
          <w:rFonts w:ascii="宋体" w:hAnsi="宋体" w:eastAsia="宋体"/>
          <w:b/>
          <w:color w:val="auto"/>
          <w:sz w:val="21"/>
          <w:szCs w:val="21"/>
          <w:highlight w:val="none"/>
        </w:rPr>
      </w:pPr>
    </w:p>
    <w:tbl>
      <w:tblPr>
        <w:tblStyle w:val="28"/>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（※此处法定代表人身份证复印件※）</w:t>
            </w:r>
          </w:p>
          <w:p>
            <w:pPr>
              <w:widowControl/>
              <w:spacing w:line="360" w:lineRule="auto"/>
              <w:jc w:val="left"/>
              <w:rPr>
                <w:rFonts w:ascii="宋体" w:hAnsi="宋体" w:eastAsia="宋体"/>
                <w:color w:val="auto"/>
                <w:sz w:val="21"/>
                <w:szCs w:val="21"/>
                <w:highlight w:val="none"/>
                <w:lang w:eastAsia="zh-CN"/>
              </w:rPr>
            </w:pPr>
          </w:p>
          <w:p>
            <w:pPr>
              <w:widowControl/>
              <w:spacing w:line="360" w:lineRule="auto"/>
              <w:jc w:val="left"/>
              <w:rPr>
                <w:rFonts w:ascii="宋体" w:hAnsi="宋体" w:eastAsia="宋体"/>
                <w:color w:val="auto"/>
                <w:sz w:val="21"/>
                <w:szCs w:val="21"/>
                <w:highlight w:val="none"/>
                <w:lang w:eastAsia="zh-CN"/>
              </w:rPr>
            </w:pPr>
          </w:p>
        </w:tc>
      </w:tr>
    </w:tbl>
    <w:p>
      <w:pPr>
        <w:widowControl/>
        <w:spacing w:before="327" w:beforeLines="100" w:after="327" w:afterLines="100" w:line="360" w:lineRule="auto"/>
        <w:jc w:val="center"/>
        <w:rPr>
          <w:rFonts w:ascii="宋体" w:hAnsi="宋体" w:eastAsia="宋体"/>
          <w:b/>
          <w:color w:val="auto"/>
          <w:sz w:val="21"/>
          <w:szCs w:val="21"/>
          <w:highlight w:val="none"/>
          <w:lang w:eastAsia="zh-CN"/>
        </w:rPr>
      </w:pPr>
    </w:p>
    <w:p>
      <w:pPr>
        <w:widowControl/>
        <w:spacing w:before="327" w:beforeLines="100" w:after="327" w:afterLines="100" w:line="360" w:lineRule="auto"/>
        <w:jc w:val="center"/>
        <w:rPr>
          <w:rFonts w:ascii="宋体" w:hAnsi="宋体" w:eastAsia="宋体"/>
          <w:b/>
          <w:color w:val="auto"/>
          <w:sz w:val="21"/>
          <w:szCs w:val="21"/>
          <w:highlight w:val="none"/>
          <w:lang w:eastAsia="zh-CN"/>
        </w:rPr>
      </w:pPr>
    </w:p>
    <w:p>
      <w:pPr>
        <w:widowControl/>
        <w:spacing w:before="327" w:beforeLines="100" w:after="327" w:afterLines="100" w:line="360" w:lineRule="auto"/>
        <w:jc w:val="center"/>
        <w:rPr>
          <w:rFonts w:ascii="宋体" w:hAnsi="宋体" w:eastAsia="宋体"/>
          <w:b/>
          <w:color w:val="auto"/>
          <w:sz w:val="21"/>
          <w:szCs w:val="21"/>
          <w:highlight w:val="none"/>
          <w:lang w:eastAsia="zh-CN"/>
        </w:rPr>
      </w:pPr>
    </w:p>
    <w:p>
      <w:pPr>
        <w:widowControl/>
        <w:spacing w:line="360" w:lineRule="auto"/>
        <w:jc w:val="right"/>
        <w:rPr>
          <w:rFonts w:ascii="宋体" w:hAnsi="宋体" w:eastAsia="宋体"/>
          <w:color w:val="auto"/>
          <w:sz w:val="21"/>
          <w:szCs w:val="21"/>
          <w:highlight w:val="none"/>
          <w:lang w:eastAsia="zh-CN"/>
        </w:rPr>
      </w:pPr>
    </w:p>
    <w:p>
      <w:pPr>
        <w:widowControl/>
        <w:spacing w:line="360" w:lineRule="auto"/>
        <w:jc w:val="right"/>
        <w:rPr>
          <w:rFonts w:ascii="宋体" w:hAnsi="宋体" w:eastAsia="宋体"/>
          <w:color w:val="auto"/>
          <w:sz w:val="21"/>
          <w:szCs w:val="21"/>
          <w:highlight w:val="none"/>
          <w:lang w:eastAsia="zh-CN"/>
        </w:rPr>
      </w:pPr>
    </w:p>
    <w:p>
      <w:pPr>
        <w:widowControl/>
        <w:spacing w:line="360" w:lineRule="auto"/>
        <w:ind w:right="240"/>
        <w:jc w:val="right"/>
        <w:rPr>
          <w:rFonts w:ascii="宋体" w:hAnsi="宋体" w:eastAsia="宋体"/>
          <w:color w:val="auto"/>
          <w:sz w:val="21"/>
          <w:szCs w:val="21"/>
          <w:highlight w:val="none"/>
          <w:lang w:eastAsia="zh-CN"/>
        </w:rPr>
      </w:pPr>
    </w:p>
    <w:p>
      <w:pPr>
        <w:widowControl/>
        <w:spacing w:line="360" w:lineRule="auto"/>
        <w:ind w:right="240"/>
        <w:jc w:val="right"/>
        <w:rPr>
          <w:rFonts w:ascii="宋体" w:hAnsi="宋体" w:eastAsia="宋体"/>
          <w:color w:val="auto"/>
          <w:sz w:val="21"/>
          <w:szCs w:val="21"/>
          <w:highlight w:val="none"/>
          <w:lang w:eastAsia="zh-CN"/>
        </w:rPr>
      </w:pPr>
    </w:p>
    <w:p>
      <w:pPr>
        <w:ind w:firstLine="440" w:firstLineChars="200"/>
        <w:jc w:val="right"/>
        <w:textAlignment w:val="baseline"/>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单位名称（加盖公章）：</w:t>
      </w:r>
    </w:p>
    <w:p>
      <w:pPr>
        <w:widowControl/>
        <w:spacing w:line="360" w:lineRule="auto"/>
        <w:ind w:firstLine="4200" w:firstLineChars="2000"/>
        <w:jc w:val="right"/>
        <w:rPr>
          <w:rFonts w:ascii="宋体" w:hAnsi="宋体" w:eastAsia="宋体"/>
          <w:color w:val="auto"/>
          <w:highlight w:val="none"/>
          <w:lang w:eastAsia="zh-CN"/>
        </w:rPr>
        <w:sectPr>
          <w:pgSz w:w="11907" w:h="16834"/>
          <w:pgMar w:top="1440" w:right="1080" w:bottom="1440" w:left="1080" w:header="1077" w:footer="1077" w:gutter="0"/>
          <w:cols w:space="708" w:num="1"/>
          <w:docGrid w:type="lines" w:linePitch="327" w:charSpace="0"/>
        </w:sectPr>
      </w:pPr>
      <w:r>
        <w:rPr>
          <w:rFonts w:hint="eastAsia" w:ascii="宋体" w:hAnsi="宋体" w:eastAsia="宋体"/>
          <w:color w:val="auto"/>
          <w:sz w:val="21"/>
          <w:szCs w:val="21"/>
          <w:highlight w:val="none"/>
          <w:lang w:eastAsia="zh-CN"/>
        </w:rPr>
        <w:t>年        月        日</w:t>
      </w:r>
    </w:p>
    <w:p>
      <w:pPr>
        <w:spacing w:line="360" w:lineRule="auto"/>
        <w:jc w:val="left"/>
        <w:outlineLvl w:val="1"/>
        <w:rPr>
          <w:rFonts w:ascii="宋体" w:hAnsi="宋体" w:eastAsia="宋体"/>
          <w:color w:val="auto"/>
          <w:sz w:val="28"/>
          <w:highlight w:val="none"/>
          <w:lang w:eastAsia="zh-CN"/>
        </w:rPr>
      </w:pPr>
      <w:bookmarkStart w:id="101" w:name="_Toc1376"/>
      <w:r>
        <w:rPr>
          <w:rFonts w:hint="eastAsia" w:ascii="宋体" w:hAnsi="宋体" w:eastAsia="宋体"/>
          <w:color w:val="auto"/>
          <w:sz w:val="28"/>
          <w:highlight w:val="none"/>
          <w:lang w:eastAsia="zh-CN"/>
        </w:rPr>
        <w:t>格式6</w:t>
      </w:r>
      <w:bookmarkEnd w:id="101"/>
    </w:p>
    <w:p>
      <w:pPr>
        <w:widowControl/>
        <w:spacing w:line="360" w:lineRule="auto"/>
        <w:jc w:val="center"/>
        <w:outlineLvl w:val="2"/>
        <w:rPr>
          <w:rFonts w:ascii="宋体" w:hAnsi="宋体" w:eastAsia="宋体"/>
          <w:b/>
          <w:color w:val="auto"/>
          <w:sz w:val="36"/>
          <w:szCs w:val="36"/>
          <w:highlight w:val="none"/>
          <w:lang w:eastAsia="zh-CN"/>
        </w:rPr>
      </w:pPr>
      <w:bookmarkStart w:id="102" w:name="_Toc21815"/>
      <w:bookmarkStart w:id="103" w:name="_Toc1219"/>
      <w:r>
        <w:rPr>
          <w:rFonts w:hint="eastAsia" w:ascii="宋体" w:hAnsi="宋体" w:eastAsia="宋体"/>
          <w:b/>
          <w:color w:val="auto"/>
          <w:sz w:val="36"/>
          <w:szCs w:val="36"/>
          <w:highlight w:val="none"/>
          <w:lang w:eastAsia="zh-CN"/>
        </w:rPr>
        <w:t>法定代表人授权委托书</w:t>
      </w:r>
      <w:bookmarkEnd w:id="102"/>
      <w:bookmarkEnd w:id="103"/>
    </w:p>
    <w:p>
      <w:pPr>
        <w:widowControl/>
        <w:spacing w:line="360" w:lineRule="auto"/>
        <w:ind w:firstLine="480" w:firstLineChars="200"/>
        <w:jc w:val="left"/>
        <w:rPr>
          <w:rFonts w:ascii="宋体" w:hAnsi="宋体" w:eastAsia="宋体"/>
          <w:color w:val="auto"/>
          <w:sz w:val="24"/>
          <w:highlight w:val="none"/>
          <w:lang w:eastAsia="zh-CN"/>
        </w:rPr>
      </w:pPr>
    </w:p>
    <w:p>
      <w:pPr>
        <w:widowControl/>
        <w:spacing w:line="360" w:lineRule="auto"/>
        <w:ind w:firstLine="420" w:firstLineChars="200"/>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委托单位名称：</w:t>
      </w:r>
    </w:p>
    <w:p>
      <w:pPr>
        <w:widowControl/>
        <w:spacing w:line="360" w:lineRule="auto"/>
        <w:ind w:firstLine="420" w:firstLineChars="200"/>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 xml:space="preserve">法定代表人：（签字）     </w:t>
      </w:r>
    </w:p>
    <w:p>
      <w:pPr>
        <w:widowControl/>
        <w:spacing w:line="360" w:lineRule="auto"/>
        <w:ind w:firstLine="420" w:firstLineChars="200"/>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身份证号码：                       住所地：</w:t>
      </w:r>
    </w:p>
    <w:p>
      <w:pPr>
        <w:widowControl/>
        <w:spacing w:line="360" w:lineRule="auto"/>
        <w:ind w:firstLine="420" w:firstLineChars="200"/>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 xml:space="preserve">受委托人：（签字）      </w:t>
      </w:r>
    </w:p>
    <w:p>
      <w:pPr>
        <w:widowControl/>
        <w:spacing w:line="360" w:lineRule="auto"/>
        <w:ind w:firstLine="420" w:firstLineChars="200"/>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身份证号码：</w:t>
      </w:r>
    </w:p>
    <w:p>
      <w:pPr>
        <w:widowControl/>
        <w:spacing w:line="360" w:lineRule="auto"/>
        <w:ind w:firstLine="420" w:firstLineChars="200"/>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工作单位：                         住所地：</w:t>
      </w:r>
    </w:p>
    <w:p>
      <w:pPr>
        <w:widowControl/>
        <w:spacing w:line="360" w:lineRule="auto"/>
        <w:ind w:firstLine="420" w:firstLineChars="200"/>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联系方式：办公电话      手机</w:t>
      </w:r>
    </w:p>
    <w:p>
      <w:pPr>
        <w:widowControl/>
        <w:spacing w:line="360" w:lineRule="auto"/>
        <w:ind w:firstLine="420" w:firstLineChars="200"/>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现委托为本公司的合法代理人，参加你公司组织的商谈活动。</w:t>
      </w:r>
    </w:p>
    <w:p>
      <w:pPr>
        <w:widowControl/>
        <w:spacing w:line="360" w:lineRule="auto"/>
        <w:ind w:firstLine="420" w:firstLineChars="200"/>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委托代理权限如下：代为参加并签署</w:t>
      </w:r>
      <w:r>
        <w:rPr>
          <w:rFonts w:hint="eastAsia" w:ascii="宋体" w:hAnsi="宋体" w:eastAsia="宋体"/>
          <w:color w:val="auto"/>
          <w:sz w:val="21"/>
          <w:szCs w:val="21"/>
          <w:highlight w:val="none"/>
          <w:u w:val="single"/>
          <w:lang w:eastAsia="zh-CN"/>
        </w:rPr>
        <w:t xml:space="preserve">           采购项目名称    包（项目编号             </w:t>
      </w:r>
      <w:r>
        <w:rPr>
          <w:rFonts w:hint="eastAsia" w:ascii="宋体" w:hAnsi="宋体" w:eastAsia="宋体"/>
          <w:color w:val="auto"/>
          <w:sz w:val="21"/>
          <w:szCs w:val="21"/>
          <w:highlight w:val="none"/>
          <w:lang w:eastAsia="zh-CN"/>
        </w:rPr>
        <w:t>）的投标文件；代为签订政府采购合同以及处理政府采购合同的执行、完成、服务和保修等相关事宜；代为承认与我公司签署、实施的与采购文件相关的采购活动及行为。</w:t>
      </w:r>
    </w:p>
    <w:p>
      <w:pPr>
        <w:widowControl/>
        <w:spacing w:line="360" w:lineRule="auto"/>
        <w:ind w:firstLine="420" w:firstLineChars="200"/>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本授权于</w:t>
      </w:r>
      <w:r>
        <w:rPr>
          <w:rFonts w:hint="eastAsia" w:ascii="宋体" w:hAnsi="宋体" w:eastAsia="宋体"/>
          <w:color w:val="auto"/>
          <w:sz w:val="21"/>
          <w:szCs w:val="21"/>
          <w:highlight w:val="none"/>
          <w:u w:val="single"/>
          <w:lang w:eastAsia="zh-CN"/>
        </w:rPr>
        <w:t xml:space="preserve">     年     月     日</w:t>
      </w:r>
      <w:r>
        <w:rPr>
          <w:rFonts w:hint="eastAsia" w:ascii="宋体" w:hAnsi="宋体" w:eastAsia="宋体"/>
          <w:color w:val="auto"/>
          <w:sz w:val="21"/>
          <w:szCs w:val="21"/>
          <w:highlight w:val="none"/>
          <w:lang w:eastAsia="zh-CN"/>
        </w:rPr>
        <w:t>签字生效，无转委托，特此声明。</w:t>
      </w:r>
    </w:p>
    <w:tbl>
      <w:tblPr>
        <w:tblStyle w:val="28"/>
        <w:tblpPr w:leftFromText="180" w:rightFromText="180" w:topFromText="100" w:bottomFromText="100" w:vertAnchor="text" w:horzAnchor="page" w:tblpX="2233" w:tblpY="3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eastAsia="宋体"/>
                <w:color w:val="auto"/>
                <w:sz w:val="21"/>
                <w:szCs w:val="21"/>
                <w:highlight w:val="none"/>
                <w:lang w:eastAsia="zh-CN"/>
              </w:rPr>
            </w:pPr>
            <w:r>
              <w:rPr>
                <w:rFonts w:hint="eastAsia" w:ascii="宋体" w:hAnsi="宋体" w:eastAsia="宋体"/>
                <w:b/>
                <w:bCs/>
                <w:color w:val="auto"/>
                <w:sz w:val="21"/>
                <w:szCs w:val="21"/>
                <w:highlight w:val="none"/>
                <w:lang w:eastAsia="zh-CN"/>
              </w:rPr>
              <w:t>（※此处授权代表人身份证复印件※）</w:t>
            </w:r>
          </w:p>
        </w:tc>
      </w:tr>
    </w:tbl>
    <w:p>
      <w:pPr>
        <w:widowControl/>
        <w:spacing w:line="360" w:lineRule="auto"/>
        <w:jc w:val="center"/>
        <w:rPr>
          <w:rFonts w:ascii="宋体" w:hAnsi="宋体" w:eastAsia="宋体"/>
          <w:color w:val="auto"/>
          <w:sz w:val="21"/>
          <w:szCs w:val="21"/>
          <w:highlight w:val="none"/>
          <w:lang w:eastAsia="zh-CN"/>
        </w:rPr>
      </w:pPr>
    </w:p>
    <w:p>
      <w:pPr>
        <w:widowControl/>
        <w:spacing w:line="360" w:lineRule="auto"/>
        <w:ind w:firstLine="420" w:firstLineChars="200"/>
        <w:jc w:val="left"/>
        <w:rPr>
          <w:rFonts w:ascii="宋体" w:hAnsi="宋体" w:eastAsia="宋体"/>
          <w:color w:val="auto"/>
          <w:sz w:val="21"/>
          <w:szCs w:val="21"/>
          <w:highlight w:val="none"/>
          <w:lang w:eastAsia="zh-CN"/>
        </w:rPr>
      </w:pPr>
    </w:p>
    <w:p>
      <w:pPr>
        <w:widowControl/>
        <w:spacing w:line="360" w:lineRule="auto"/>
        <w:ind w:firstLine="420" w:firstLineChars="200"/>
        <w:jc w:val="left"/>
        <w:rPr>
          <w:rFonts w:ascii="宋体" w:hAnsi="宋体" w:eastAsia="宋体"/>
          <w:color w:val="auto"/>
          <w:sz w:val="21"/>
          <w:szCs w:val="21"/>
          <w:highlight w:val="none"/>
          <w:lang w:eastAsia="zh-CN"/>
        </w:rPr>
      </w:pPr>
    </w:p>
    <w:p>
      <w:pPr>
        <w:widowControl/>
        <w:spacing w:line="360" w:lineRule="auto"/>
        <w:ind w:firstLine="420" w:firstLineChars="200"/>
        <w:jc w:val="left"/>
        <w:rPr>
          <w:rFonts w:ascii="宋体" w:hAnsi="宋体" w:eastAsia="宋体"/>
          <w:color w:val="auto"/>
          <w:sz w:val="21"/>
          <w:szCs w:val="21"/>
          <w:highlight w:val="none"/>
          <w:lang w:eastAsia="zh-CN"/>
        </w:rPr>
      </w:pPr>
    </w:p>
    <w:p>
      <w:pPr>
        <w:widowControl/>
        <w:spacing w:line="360" w:lineRule="auto"/>
        <w:ind w:firstLine="420" w:firstLineChars="200"/>
        <w:jc w:val="left"/>
        <w:rPr>
          <w:rFonts w:ascii="宋体" w:hAnsi="宋体" w:eastAsia="宋体"/>
          <w:color w:val="auto"/>
          <w:sz w:val="21"/>
          <w:szCs w:val="21"/>
          <w:highlight w:val="none"/>
          <w:lang w:eastAsia="zh-CN"/>
        </w:rPr>
      </w:pPr>
    </w:p>
    <w:p>
      <w:pPr>
        <w:widowControl/>
        <w:spacing w:line="360" w:lineRule="auto"/>
        <w:ind w:firstLine="420" w:firstLineChars="200"/>
        <w:jc w:val="left"/>
        <w:rPr>
          <w:rFonts w:ascii="宋体" w:hAnsi="宋体" w:eastAsia="宋体"/>
          <w:color w:val="auto"/>
          <w:sz w:val="21"/>
          <w:szCs w:val="21"/>
          <w:highlight w:val="none"/>
          <w:lang w:eastAsia="zh-CN"/>
        </w:rPr>
      </w:pPr>
    </w:p>
    <w:p>
      <w:pPr>
        <w:widowControl/>
        <w:spacing w:line="360" w:lineRule="auto"/>
        <w:ind w:right="561"/>
        <w:jc w:val="left"/>
        <w:rPr>
          <w:rFonts w:ascii="宋体" w:hAnsi="宋体" w:eastAsia="宋体"/>
          <w:color w:val="auto"/>
          <w:sz w:val="21"/>
          <w:szCs w:val="21"/>
          <w:highlight w:val="none"/>
          <w:lang w:eastAsia="zh-CN"/>
        </w:rPr>
      </w:pPr>
    </w:p>
    <w:p>
      <w:pPr>
        <w:ind w:firstLine="440" w:firstLineChars="200"/>
        <w:jc w:val="right"/>
        <w:textAlignment w:val="baseline"/>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单位名称（加盖公章）：</w:t>
      </w:r>
    </w:p>
    <w:p>
      <w:pPr>
        <w:widowControl/>
        <w:spacing w:line="360" w:lineRule="auto"/>
        <w:ind w:right="561" w:firstLine="420" w:firstLineChars="200"/>
        <w:jc w:val="center"/>
        <w:rPr>
          <w:rFonts w:ascii="宋体" w:hAnsi="宋体" w:eastAsia="宋体"/>
          <w:color w:val="auto"/>
          <w:highlight w:val="none"/>
          <w:lang w:eastAsia="zh-CN"/>
        </w:rPr>
        <w:sectPr>
          <w:pgSz w:w="11907" w:h="16834"/>
          <w:pgMar w:top="1440" w:right="1080" w:bottom="1440" w:left="1080" w:header="1077" w:footer="1077" w:gutter="0"/>
          <w:cols w:space="708" w:num="1"/>
          <w:docGrid w:type="lines" w:linePitch="327" w:charSpace="0"/>
        </w:sectPr>
      </w:pPr>
      <w:r>
        <w:rPr>
          <w:rFonts w:hint="eastAsia" w:ascii="宋体" w:hAnsi="宋体" w:eastAsia="宋体"/>
          <w:color w:val="auto"/>
          <w:sz w:val="21"/>
          <w:szCs w:val="21"/>
          <w:highlight w:val="none"/>
          <w:lang w:eastAsia="zh-CN"/>
        </w:rPr>
        <w:t xml:space="preserve">   年     月    日</w:t>
      </w:r>
    </w:p>
    <w:p>
      <w:pPr>
        <w:widowControl/>
        <w:spacing w:line="360" w:lineRule="auto"/>
        <w:ind w:right="561"/>
        <w:outlineLvl w:val="1"/>
        <w:rPr>
          <w:rFonts w:ascii="宋体" w:hAnsi="宋体" w:eastAsia="宋体"/>
          <w:color w:val="auto"/>
          <w:sz w:val="28"/>
          <w:highlight w:val="none"/>
          <w:lang w:eastAsia="zh-CN"/>
        </w:rPr>
      </w:pPr>
      <w:bookmarkStart w:id="104" w:name="_Toc16967"/>
      <w:r>
        <w:rPr>
          <w:rFonts w:hint="eastAsia" w:ascii="宋体" w:hAnsi="宋体" w:eastAsia="宋体"/>
          <w:color w:val="auto"/>
          <w:sz w:val="28"/>
          <w:highlight w:val="none"/>
          <w:lang w:eastAsia="zh-CN"/>
        </w:rPr>
        <w:t>格式7</w:t>
      </w:r>
      <w:bookmarkEnd w:id="104"/>
    </w:p>
    <w:p>
      <w:pPr>
        <w:widowControl/>
        <w:spacing w:line="360" w:lineRule="auto"/>
        <w:ind w:right="561"/>
        <w:jc w:val="center"/>
        <w:outlineLvl w:val="2"/>
        <w:rPr>
          <w:rFonts w:ascii="宋体" w:hAnsi="宋体" w:eastAsia="宋体"/>
          <w:color w:val="auto"/>
          <w:highlight w:val="none"/>
          <w:lang w:eastAsia="zh-CN"/>
        </w:rPr>
        <w:sectPr>
          <w:pgSz w:w="11907" w:h="16834"/>
          <w:pgMar w:top="1440" w:right="1080" w:bottom="1440" w:left="1080" w:header="1077" w:footer="1077" w:gutter="0"/>
          <w:cols w:space="708" w:num="1"/>
          <w:docGrid w:type="lines" w:linePitch="327" w:charSpace="0"/>
        </w:sectPr>
      </w:pPr>
      <w:bookmarkStart w:id="105" w:name="_Toc6746"/>
      <w:bookmarkStart w:id="106" w:name="_Toc16423"/>
      <w:r>
        <w:rPr>
          <w:rFonts w:hint="eastAsia" w:ascii="宋体" w:hAnsi="宋体" w:eastAsia="宋体"/>
          <w:b/>
          <w:bCs/>
          <w:color w:val="auto"/>
          <w:sz w:val="36"/>
          <w:szCs w:val="36"/>
          <w:highlight w:val="none"/>
          <w:lang w:eastAsia="zh-CN"/>
        </w:rPr>
        <w:t>资质证明文件（复印件）</w:t>
      </w:r>
      <w:bookmarkEnd w:id="105"/>
      <w:bookmarkEnd w:id="106"/>
    </w:p>
    <w:p>
      <w:pPr>
        <w:widowControl/>
        <w:spacing w:line="360" w:lineRule="auto"/>
        <w:ind w:right="561"/>
        <w:outlineLvl w:val="1"/>
        <w:rPr>
          <w:rFonts w:ascii="宋体" w:hAnsi="宋体" w:eastAsia="宋体"/>
          <w:color w:val="auto"/>
          <w:sz w:val="28"/>
          <w:highlight w:val="none"/>
          <w:lang w:eastAsia="zh-CN"/>
        </w:rPr>
      </w:pPr>
      <w:bookmarkStart w:id="107" w:name="_Toc9968"/>
      <w:r>
        <w:rPr>
          <w:rFonts w:hint="eastAsia" w:ascii="宋体" w:hAnsi="宋体" w:eastAsia="宋体"/>
          <w:color w:val="auto"/>
          <w:sz w:val="28"/>
          <w:highlight w:val="none"/>
          <w:lang w:eastAsia="zh-CN"/>
        </w:rPr>
        <w:t>格式8</w:t>
      </w:r>
      <w:bookmarkEnd w:id="107"/>
    </w:p>
    <w:p>
      <w:pPr>
        <w:spacing w:line="360" w:lineRule="auto"/>
        <w:jc w:val="center"/>
        <w:outlineLvl w:val="2"/>
        <w:rPr>
          <w:rFonts w:ascii="宋体" w:hAnsi="宋体" w:eastAsia="宋体"/>
          <w:b/>
          <w:color w:val="auto"/>
          <w:sz w:val="36"/>
          <w:szCs w:val="36"/>
          <w:highlight w:val="none"/>
          <w:lang w:eastAsia="zh-CN"/>
        </w:rPr>
      </w:pPr>
      <w:bookmarkStart w:id="108" w:name="_Toc1610"/>
      <w:bookmarkStart w:id="109" w:name="_Toc13757"/>
      <w:r>
        <w:rPr>
          <w:rFonts w:hint="eastAsia" w:ascii="宋体" w:hAnsi="宋体" w:eastAsia="宋体"/>
          <w:b/>
          <w:color w:val="auto"/>
          <w:sz w:val="36"/>
          <w:szCs w:val="36"/>
          <w:highlight w:val="none"/>
          <w:lang w:eastAsia="zh-CN"/>
        </w:rPr>
        <w:t>反商业贿赂承诺书</w:t>
      </w:r>
      <w:bookmarkEnd w:id="108"/>
      <w:bookmarkEnd w:id="109"/>
    </w:p>
    <w:p>
      <w:pPr>
        <w:spacing w:line="360" w:lineRule="auto"/>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我公司承诺：</w:t>
      </w:r>
    </w:p>
    <w:p>
      <w:pPr>
        <w:spacing w:line="360" w:lineRule="auto"/>
        <w:ind w:firstLine="567"/>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在项目包采购中，我公司保证做到：</w:t>
      </w:r>
    </w:p>
    <w:p>
      <w:pPr>
        <w:spacing w:line="360" w:lineRule="auto"/>
        <w:ind w:firstLine="567"/>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一、公平竞争参加本次竞争性磋商采购。</w:t>
      </w:r>
    </w:p>
    <w:p>
      <w:pPr>
        <w:spacing w:line="360" w:lineRule="auto"/>
        <w:ind w:firstLine="567"/>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567"/>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三、若出现上述行为，我公司及参与磋商的工作人员愿意接受按照国家法律法规等有关规定给予的处罚。</w:t>
      </w:r>
    </w:p>
    <w:p>
      <w:pPr>
        <w:spacing w:line="360" w:lineRule="auto"/>
        <w:jc w:val="left"/>
        <w:rPr>
          <w:rFonts w:ascii="宋体" w:hAnsi="宋体" w:eastAsia="宋体"/>
          <w:color w:val="auto"/>
          <w:sz w:val="21"/>
          <w:szCs w:val="21"/>
          <w:highlight w:val="none"/>
          <w:lang w:eastAsia="zh-CN"/>
        </w:rPr>
      </w:pPr>
    </w:p>
    <w:p>
      <w:pPr>
        <w:ind w:firstLine="660" w:firstLineChars="300"/>
        <w:textAlignment w:val="baseline"/>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单位名称（加盖公章）：</w:t>
      </w:r>
    </w:p>
    <w:p>
      <w:pPr>
        <w:spacing w:line="360" w:lineRule="auto"/>
        <w:ind w:firstLine="567"/>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法定代表人（签字或盖章）：</w:t>
      </w:r>
    </w:p>
    <w:p>
      <w:pPr>
        <w:spacing w:line="360" w:lineRule="auto"/>
        <w:ind w:firstLine="567"/>
        <w:jc w:val="left"/>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法定代表人授权代表（签字或盖章）：</w:t>
      </w:r>
    </w:p>
    <w:p>
      <w:pPr>
        <w:spacing w:line="360" w:lineRule="auto"/>
        <w:ind w:firstLine="720"/>
        <w:jc w:val="left"/>
        <w:rPr>
          <w:rFonts w:ascii="宋体" w:hAnsi="宋体" w:eastAsia="宋体"/>
          <w:color w:val="auto"/>
          <w:highlight w:val="none"/>
          <w:lang w:eastAsia="zh-CN"/>
        </w:rPr>
        <w:sectPr>
          <w:pgSz w:w="11907" w:h="16834"/>
          <w:pgMar w:top="1440" w:right="1080" w:bottom="1440" w:left="1080" w:header="1077" w:footer="1077" w:gutter="0"/>
          <w:cols w:space="708" w:num="1"/>
          <w:docGrid w:type="lines" w:linePitch="327" w:charSpace="0"/>
        </w:sectPr>
      </w:pPr>
      <w:r>
        <w:rPr>
          <w:rFonts w:hint="eastAsia" w:ascii="宋体" w:hAnsi="宋体" w:eastAsia="宋体"/>
          <w:color w:val="auto"/>
          <w:sz w:val="21"/>
          <w:szCs w:val="21"/>
          <w:highlight w:val="none"/>
          <w:lang w:eastAsia="zh-CN"/>
        </w:rPr>
        <w:t xml:space="preserve">                                          年  月  日</w:t>
      </w:r>
    </w:p>
    <w:p>
      <w:pPr>
        <w:widowControl/>
        <w:spacing w:line="360" w:lineRule="auto"/>
        <w:ind w:right="561"/>
        <w:outlineLvl w:val="1"/>
        <w:rPr>
          <w:rFonts w:ascii="宋体" w:hAnsi="宋体" w:eastAsia="宋体"/>
          <w:color w:val="auto"/>
          <w:sz w:val="28"/>
          <w:highlight w:val="none"/>
          <w:lang w:eastAsia="zh-CN"/>
        </w:rPr>
      </w:pPr>
      <w:bookmarkStart w:id="110" w:name="_Toc20041"/>
      <w:r>
        <w:rPr>
          <w:rFonts w:hint="eastAsia" w:ascii="宋体" w:hAnsi="宋体" w:eastAsia="宋体"/>
          <w:color w:val="auto"/>
          <w:sz w:val="28"/>
          <w:highlight w:val="none"/>
          <w:lang w:eastAsia="zh-CN"/>
        </w:rPr>
        <w:t>格式9</w:t>
      </w:r>
      <w:bookmarkEnd w:id="110"/>
    </w:p>
    <w:p>
      <w:pPr>
        <w:pStyle w:val="6"/>
        <w:spacing w:line="360" w:lineRule="auto"/>
        <w:jc w:val="center"/>
        <w:rPr>
          <w:rFonts w:hint="default" w:cs="宋体"/>
          <w:color w:val="auto"/>
          <w:sz w:val="36"/>
          <w:szCs w:val="36"/>
          <w:highlight w:val="none"/>
        </w:rPr>
      </w:pPr>
      <w:bookmarkStart w:id="111" w:name="_Toc15965"/>
      <w:bookmarkStart w:id="112" w:name="_Toc8344"/>
      <w:r>
        <w:rPr>
          <w:rFonts w:cs="宋体"/>
          <w:color w:val="auto"/>
          <w:sz w:val="36"/>
          <w:szCs w:val="36"/>
          <w:highlight w:val="none"/>
        </w:rPr>
        <w:t>中小企业声明函(按实际情况填写)</w:t>
      </w:r>
      <w:bookmarkEnd w:id="111"/>
      <w:bookmarkEnd w:id="112"/>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本公司郑重声明，根据《政府采购促进中小企业发展暂行办法》（财库[2011]181 号）的规定，本公司为______（请填写：中型、小型、微型）企业。即，本公司同时满足以下条件：</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1.根据《工业和信息化部、国家统计局、国家发展和改革委员会、财政部关于印发中小企业划型标准规定的通知》 （工信部联企业[2011]300 号）规定的划分标准，本公司为______（请填写：中型、小型、微型）企业。</w:t>
      </w:r>
    </w:p>
    <w:p>
      <w:pPr>
        <w:spacing w:line="360" w:lineRule="auto"/>
        <w:ind w:firstLine="420" w:firstLineChars="20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本公司参加______单位的______项目包采购活动提供本企业制造的货物，由本企业承担工程、提供服务，或者提供其他______（请填写：中型、小型、微型）企业制造的货物。本条所称货物不包括使用大型企业注册商标的货物。</w:t>
      </w:r>
    </w:p>
    <w:p>
      <w:pPr>
        <w:spacing w:line="360" w:lineRule="auto"/>
        <w:ind w:firstLine="315" w:firstLineChars="150"/>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本公司对上述声明的真实性负责。如有虚假，将依法承担相应责任。</w:t>
      </w:r>
    </w:p>
    <w:p>
      <w:pPr>
        <w:spacing w:line="360" w:lineRule="auto"/>
        <w:rPr>
          <w:rFonts w:ascii="宋体" w:hAnsi="宋体" w:eastAsia="宋体"/>
          <w:color w:val="auto"/>
          <w:sz w:val="21"/>
          <w:szCs w:val="21"/>
          <w:highlight w:val="none"/>
          <w:lang w:eastAsia="zh-CN"/>
        </w:rPr>
      </w:pPr>
    </w:p>
    <w:p>
      <w:pPr>
        <w:textAlignment w:val="baseline"/>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单位名称（加盖公章）：</w:t>
      </w:r>
    </w:p>
    <w:p>
      <w:pPr>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日 期：</w:t>
      </w:r>
    </w:p>
    <w:p>
      <w:pPr>
        <w:spacing w:line="360" w:lineRule="auto"/>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说明：</w:t>
      </w:r>
    </w:p>
    <w:p>
      <w:pPr>
        <w:spacing w:line="360" w:lineRule="auto"/>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1、本声明函仅针对小微型企业，非小型、微型企业投标时不用提供该声明。</w:t>
      </w:r>
    </w:p>
    <w:p>
      <w:pPr>
        <w:spacing w:line="360" w:lineRule="auto"/>
        <w:rPr>
          <w:rFonts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2、根据《政府采购促进中小企业发展暂行办法》(财库[2011]181 号)的规定，对于非专门面向中小企业的项目，对小型和微型企业产品的价格给予 6%的扣除，用扣除后的价格参与评审。</w:t>
      </w:r>
    </w:p>
    <w:p>
      <w:pPr>
        <w:widowControl/>
        <w:spacing w:line="360" w:lineRule="auto"/>
        <w:ind w:right="561"/>
        <w:rPr>
          <w:rFonts w:ascii="宋体" w:hAnsi="宋体" w:eastAsia="宋体"/>
          <w:color w:val="auto"/>
          <w:sz w:val="28"/>
          <w:highlight w:val="none"/>
          <w:lang w:eastAsia="zh-CN"/>
        </w:rPr>
      </w:pPr>
    </w:p>
    <w:p>
      <w:pPr>
        <w:widowControl/>
        <w:spacing w:line="360" w:lineRule="auto"/>
        <w:ind w:right="561"/>
        <w:jc w:val="center"/>
        <w:rPr>
          <w:rFonts w:ascii="宋体" w:hAnsi="宋体" w:eastAsia="宋体"/>
          <w:color w:val="auto"/>
          <w:sz w:val="28"/>
          <w:highlight w:val="none"/>
          <w:lang w:eastAsia="zh-CN"/>
        </w:rPr>
      </w:pPr>
      <w:r>
        <w:rPr>
          <w:rFonts w:hint="eastAsia" w:ascii="宋体" w:hAnsi="宋体" w:eastAsia="宋体"/>
          <w:color w:val="auto"/>
          <w:sz w:val="28"/>
          <w:highlight w:val="none"/>
          <w:lang w:eastAsia="zh-CN"/>
        </w:rPr>
        <w:t>政府采购政策性规定证明材料</w:t>
      </w:r>
    </w:p>
    <w:p>
      <w:pPr>
        <w:rPr>
          <w:rFonts w:ascii="宋体" w:hAnsi="宋体" w:eastAsia="宋体"/>
          <w:color w:val="auto"/>
          <w:highlight w:val="none"/>
          <w:lang w:eastAsia="zh-CN"/>
        </w:rPr>
      </w:pPr>
    </w:p>
    <w:p>
      <w:pPr>
        <w:widowControl/>
        <w:spacing w:line="360" w:lineRule="auto"/>
        <w:ind w:right="561"/>
        <w:outlineLvl w:val="1"/>
        <w:rPr>
          <w:rFonts w:ascii="宋体" w:hAnsi="宋体" w:eastAsia="宋体"/>
          <w:color w:val="auto"/>
          <w:sz w:val="28"/>
          <w:highlight w:val="none"/>
          <w:lang w:eastAsia="zh-CN"/>
        </w:rPr>
        <w:sectPr>
          <w:pgSz w:w="11907" w:h="16834"/>
          <w:pgMar w:top="1440" w:right="1080" w:bottom="1440" w:left="1080" w:header="1077" w:footer="1077" w:gutter="0"/>
          <w:cols w:space="708" w:num="1"/>
          <w:docGrid w:type="lines" w:linePitch="327" w:charSpace="0"/>
        </w:sectPr>
      </w:pPr>
      <w:bookmarkStart w:id="113" w:name="_Toc21880"/>
    </w:p>
    <w:p>
      <w:pPr>
        <w:widowControl/>
        <w:spacing w:line="360" w:lineRule="auto"/>
        <w:ind w:right="561"/>
        <w:outlineLvl w:val="1"/>
        <w:rPr>
          <w:rFonts w:ascii="宋体" w:hAnsi="宋体" w:eastAsia="宋体"/>
          <w:color w:val="auto"/>
          <w:sz w:val="28"/>
          <w:highlight w:val="none"/>
          <w:lang w:eastAsia="zh-CN"/>
        </w:rPr>
      </w:pPr>
      <w:r>
        <w:rPr>
          <w:rFonts w:hint="eastAsia" w:ascii="宋体" w:hAnsi="宋体" w:eastAsia="宋体"/>
          <w:color w:val="auto"/>
          <w:sz w:val="28"/>
          <w:highlight w:val="none"/>
          <w:lang w:eastAsia="zh-CN"/>
        </w:rPr>
        <w:t>格式10</w:t>
      </w:r>
      <w:bookmarkEnd w:id="113"/>
      <w:bookmarkStart w:id="114" w:name="_Toc463011372"/>
    </w:p>
    <w:p>
      <w:pPr>
        <w:widowControl/>
        <w:spacing w:line="360" w:lineRule="auto"/>
        <w:ind w:right="561"/>
        <w:jc w:val="center"/>
        <w:outlineLvl w:val="2"/>
        <w:rPr>
          <w:rFonts w:ascii="宋体" w:hAnsi="宋体" w:eastAsia="宋体"/>
          <w:color w:val="auto"/>
          <w:sz w:val="28"/>
          <w:highlight w:val="none"/>
          <w:lang w:eastAsia="zh-CN"/>
        </w:rPr>
      </w:pPr>
      <w:bookmarkStart w:id="115" w:name="_Toc4193"/>
      <w:bookmarkStart w:id="116" w:name="_Toc29531"/>
      <w:r>
        <w:rPr>
          <w:rFonts w:hint="eastAsia" w:ascii="宋体" w:hAnsi="宋体" w:eastAsia="宋体"/>
          <w:color w:val="auto"/>
          <w:sz w:val="28"/>
          <w:highlight w:val="none"/>
          <w:lang w:eastAsia="zh-CN"/>
        </w:rPr>
        <w:t>竞争性磋商文件要求供应商提交的其它磋商资料</w:t>
      </w:r>
      <w:bookmarkEnd w:id="114"/>
      <w:bookmarkEnd w:id="115"/>
      <w:bookmarkEnd w:id="116"/>
    </w:p>
    <w:p>
      <w:pPr>
        <w:widowControl/>
        <w:spacing w:line="360" w:lineRule="auto"/>
        <w:ind w:right="561"/>
        <w:rPr>
          <w:rFonts w:ascii="宋体" w:hAnsi="宋体" w:eastAsia="宋体"/>
          <w:color w:val="auto"/>
          <w:sz w:val="28"/>
          <w:highlight w:val="none"/>
          <w:lang w:eastAsia="zh-CN"/>
        </w:rPr>
      </w:pPr>
    </w:p>
    <w:p>
      <w:pPr>
        <w:widowControl/>
        <w:spacing w:line="360" w:lineRule="auto"/>
        <w:ind w:right="561" w:firstLine="2240" w:firstLineChars="800"/>
        <w:rPr>
          <w:rFonts w:ascii="宋体" w:hAnsi="宋体" w:eastAsia="宋体"/>
          <w:color w:val="auto"/>
          <w:sz w:val="28"/>
          <w:highlight w:val="none"/>
          <w:lang w:eastAsia="zh-CN"/>
        </w:rPr>
      </w:pPr>
      <w:bookmarkStart w:id="117" w:name="_Toc14744"/>
      <w:r>
        <w:rPr>
          <w:rFonts w:hint="eastAsia" w:ascii="宋体" w:hAnsi="宋体" w:eastAsia="宋体"/>
          <w:color w:val="auto"/>
          <w:sz w:val="28"/>
          <w:highlight w:val="none"/>
          <w:lang w:eastAsia="zh-CN"/>
        </w:rPr>
        <w:t>供应商认为有必要提交的其他资料。</w:t>
      </w:r>
      <w:bookmarkEnd w:id="117"/>
    </w:p>
    <w:sectPr>
      <w:pgSz w:w="11907" w:h="16834"/>
      <w:pgMar w:top="1440" w:right="1080" w:bottom="1440" w:left="1080" w:header="1077" w:footer="1077" w:gutter="0"/>
      <w:cols w:space="708"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right="360"/>
      <w:rPr>
        <w:rFonts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lang w:eastAsia="zh-CN"/>
      </w:rPr>
    </w:pPr>
    <w:r>
      <w:pict>
        <v:shape id="文本框 33" o:spid="_x0000_s3073"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weight="1.25pt" joinstyle="miter"/>
          <v:imagedata o:title=""/>
          <o:lock v:ext="edit"/>
          <v:textbox inset="0mm,0mm,0mm,0mm" style="mso-fit-shape-to-text:t;">
            <w:txbxContent>
              <w:p>
                <w:pPr>
                  <w:pStyle w:val="1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w:t>
                </w:r>
                <w:r>
                  <w:rPr>
                    <w:rFonts w:hint="eastAsia" w:eastAsia="宋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lang w:eastAsia="zh-CN"/>
      </w:rPr>
    </w:pPr>
    <w:r>
      <w:pict>
        <v:shape id="文本框 32" o:spid="_x0000_s3074"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1.25pt" joinstyle="miter"/>
          <v:imagedata o:title=""/>
          <o:lock v:ext="edit"/>
          <v:textbox inset="0mm,0mm,0mm,0mm" style="mso-fit-shape-to-text:t;">
            <w:txbxContent>
              <w:p>
                <w:pPr>
                  <w:pStyle w:val="1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16</w:t>
                </w:r>
                <w:r>
                  <w:rPr>
                    <w:rFonts w:hint="eastAsia" w:eastAsia="宋体"/>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275"/>
      </w:tabs>
      <w:spacing w:line="1" w:lineRule="atLeast"/>
      <w:rPr>
        <w:rFonts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32F38"/>
    <w:multiLevelType w:val="multilevel"/>
    <w:tmpl w:val="16A32F38"/>
    <w:lvl w:ilvl="0" w:tentative="0">
      <w:start w:val="1"/>
      <w:numFmt w:val="japaneseCounting"/>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CF9C8F"/>
    <w:multiLevelType w:val="singleLevel"/>
    <w:tmpl w:val="56CF9C8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0"/>
  <w:drawingGridVerticalSpacing w:val="162"/>
  <w:noPunctuationKerning w:val="1"/>
  <w:characterSpacingControl w:val="compressPunctuation"/>
  <w:noLineBreaksAfter w:lang="zh-CN" w:val="([{·‘“〈《「『【〔〖（．［｛￡￥"/>
  <w:noLineBreaksBefore w:lang="zh-CN" w:val="!),.:;?]}¨·ˇˉ―‖’”…∶、。〃々〉》」』】〕〗！＂＇），．：；？］｀｜｝～￠"/>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440F"/>
    <w:rsid w:val="0003232F"/>
    <w:rsid w:val="00060243"/>
    <w:rsid w:val="0008334C"/>
    <w:rsid w:val="00083C88"/>
    <w:rsid w:val="00172A27"/>
    <w:rsid w:val="00180D36"/>
    <w:rsid w:val="0019269B"/>
    <w:rsid w:val="001A2E68"/>
    <w:rsid w:val="001A48CF"/>
    <w:rsid w:val="001A496E"/>
    <w:rsid w:val="001C4A25"/>
    <w:rsid w:val="001D7990"/>
    <w:rsid w:val="00210054"/>
    <w:rsid w:val="002333C5"/>
    <w:rsid w:val="002A3BC7"/>
    <w:rsid w:val="002E4C90"/>
    <w:rsid w:val="00321D28"/>
    <w:rsid w:val="003412F3"/>
    <w:rsid w:val="003A7AD2"/>
    <w:rsid w:val="003D1C30"/>
    <w:rsid w:val="003F4514"/>
    <w:rsid w:val="003F4674"/>
    <w:rsid w:val="0040574E"/>
    <w:rsid w:val="00421B40"/>
    <w:rsid w:val="004225F6"/>
    <w:rsid w:val="0046462E"/>
    <w:rsid w:val="00491E7A"/>
    <w:rsid w:val="00492B73"/>
    <w:rsid w:val="004B3CCF"/>
    <w:rsid w:val="004E1802"/>
    <w:rsid w:val="00541248"/>
    <w:rsid w:val="00557FD1"/>
    <w:rsid w:val="005D23E4"/>
    <w:rsid w:val="005E7E80"/>
    <w:rsid w:val="005F645F"/>
    <w:rsid w:val="00606630"/>
    <w:rsid w:val="00637C81"/>
    <w:rsid w:val="00673082"/>
    <w:rsid w:val="006B3204"/>
    <w:rsid w:val="006C655C"/>
    <w:rsid w:val="006C664F"/>
    <w:rsid w:val="006D357D"/>
    <w:rsid w:val="006E5C2D"/>
    <w:rsid w:val="0074319D"/>
    <w:rsid w:val="00750491"/>
    <w:rsid w:val="00766696"/>
    <w:rsid w:val="00783D90"/>
    <w:rsid w:val="007E2CE3"/>
    <w:rsid w:val="00804E0D"/>
    <w:rsid w:val="00810D49"/>
    <w:rsid w:val="00812B3D"/>
    <w:rsid w:val="0082745A"/>
    <w:rsid w:val="008309DD"/>
    <w:rsid w:val="00841B83"/>
    <w:rsid w:val="00891678"/>
    <w:rsid w:val="008C097D"/>
    <w:rsid w:val="008E03D3"/>
    <w:rsid w:val="008E7E3F"/>
    <w:rsid w:val="00905116"/>
    <w:rsid w:val="00971F38"/>
    <w:rsid w:val="009D6603"/>
    <w:rsid w:val="009F2FE0"/>
    <w:rsid w:val="00A02806"/>
    <w:rsid w:val="00A526CC"/>
    <w:rsid w:val="00A635BE"/>
    <w:rsid w:val="00A63D38"/>
    <w:rsid w:val="00A66AB7"/>
    <w:rsid w:val="00B056B4"/>
    <w:rsid w:val="00B321AC"/>
    <w:rsid w:val="00B54615"/>
    <w:rsid w:val="00B70446"/>
    <w:rsid w:val="00B8322D"/>
    <w:rsid w:val="00B8536B"/>
    <w:rsid w:val="00BE7C6C"/>
    <w:rsid w:val="00C176B9"/>
    <w:rsid w:val="00C27AB4"/>
    <w:rsid w:val="00C450EA"/>
    <w:rsid w:val="00C7332E"/>
    <w:rsid w:val="00C75627"/>
    <w:rsid w:val="00CE2A1B"/>
    <w:rsid w:val="00CF6734"/>
    <w:rsid w:val="00CF7651"/>
    <w:rsid w:val="00D05B22"/>
    <w:rsid w:val="00D70476"/>
    <w:rsid w:val="00D75387"/>
    <w:rsid w:val="00DB0CF2"/>
    <w:rsid w:val="00DD3A19"/>
    <w:rsid w:val="00DE4BED"/>
    <w:rsid w:val="00E27F58"/>
    <w:rsid w:val="00E34497"/>
    <w:rsid w:val="00E70477"/>
    <w:rsid w:val="00E7525F"/>
    <w:rsid w:val="00E85985"/>
    <w:rsid w:val="00ED434E"/>
    <w:rsid w:val="00ED5E5D"/>
    <w:rsid w:val="00EF6D80"/>
    <w:rsid w:val="00F063E8"/>
    <w:rsid w:val="00F16F4A"/>
    <w:rsid w:val="00F621FC"/>
    <w:rsid w:val="00F669C7"/>
    <w:rsid w:val="00F80475"/>
    <w:rsid w:val="00FC71DE"/>
    <w:rsid w:val="01265FEC"/>
    <w:rsid w:val="01527EF2"/>
    <w:rsid w:val="018149A1"/>
    <w:rsid w:val="0185595E"/>
    <w:rsid w:val="019443B7"/>
    <w:rsid w:val="01962A9B"/>
    <w:rsid w:val="01D823FD"/>
    <w:rsid w:val="01E061F3"/>
    <w:rsid w:val="01E119CA"/>
    <w:rsid w:val="01F34EEF"/>
    <w:rsid w:val="0271163E"/>
    <w:rsid w:val="02987A85"/>
    <w:rsid w:val="02B52ED4"/>
    <w:rsid w:val="02B65A60"/>
    <w:rsid w:val="03004DF4"/>
    <w:rsid w:val="03163E1D"/>
    <w:rsid w:val="036B4BAC"/>
    <w:rsid w:val="039514C2"/>
    <w:rsid w:val="03CA1C09"/>
    <w:rsid w:val="03E32020"/>
    <w:rsid w:val="043A06FC"/>
    <w:rsid w:val="045E2554"/>
    <w:rsid w:val="04BD5452"/>
    <w:rsid w:val="04CB3452"/>
    <w:rsid w:val="04E81B1A"/>
    <w:rsid w:val="05037D92"/>
    <w:rsid w:val="05097AD0"/>
    <w:rsid w:val="05344197"/>
    <w:rsid w:val="05D54F4B"/>
    <w:rsid w:val="05EC3946"/>
    <w:rsid w:val="05F3565E"/>
    <w:rsid w:val="062A7319"/>
    <w:rsid w:val="068F4A62"/>
    <w:rsid w:val="06963932"/>
    <w:rsid w:val="06B01105"/>
    <w:rsid w:val="06B82FE8"/>
    <w:rsid w:val="073D5433"/>
    <w:rsid w:val="07684137"/>
    <w:rsid w:val="076D5D71"/>
    <w:rsid w:val="07F6399B"/>
    <w:rsid w:val="08575FBE"/>
    <w:rsid w:val="08636460"/>
    <w:rsid w:val="089E152A"/>
    <w:rsid w:val="08A3063C"/>
    <w:rsid w:val="08AB3FA2"/>
    <w:rsid w:val="08B57054"/>
    <w:rsid w:val="08F10BD1"/>
    <w:rsid w:val="090A0118"/>
    <w:rsid w:val="091A3AFD"/>
    <w:rsid w:val="093528D4"/>
    <w:rsid w:val="09567689"/>
    <w:rsid w:val="0958233B"/>
    <w:rsid w:val="09722CB8"/>
    <w:rsid w:val="098E1052"/>
    <w:rsid w:val="09D55F12"/>
    <w:rsid w:val="0A2214BE"/>
    <w:rsid w:val="0A233DAE"/>
    <w:rsid w:val="0A465D9C"/>
    <w:rsid w:val="0A5E5782"/>
    <w:rsid w:val="0A64777C"/>
    <w:rsid w:val="0AE7068D"/>
    <w:rsid w:val="0B0968F6"/>
    <w:rsid w:val="0B1C692A"/>
    <w:rsid w:val="0B2473D6"/>
    <w:rsid w:val="0B2A3206"/>
    <w:rsid w:val="0B591E2E"/>
    <w:rsid w:val="0B7068C4"/>
    <w:rsid w:val="0B89787D"/>
    <w:rsid w:val="0BB561B4"/>
    <w:rsid w:val="0BE74F15"/>
    <w:rsid w:val="0BEC6896"/>
    <w:rsid w:val="0C016FCD"/>
    <w:rsid w:val="0C213853"/>
    <w:rsid w:val="0C315D46"/>
    <w:rsid w:val="0C572C00"/>
    <w:rsid w:val="0CBE09D3"/>
    <w:rsid w:val="0CF25F8A"/>
    <w:rsid w:val="0CF74D52"/>
    <w:rsid w:val="0CFD2710"/>
    <w:rsid w:val="0D1B22F4"/>
    <w:rsid w:val="0D700577"/>
    <w:rsid w:val="0DBA2892"/>
    <w:rsid w:val="0E24694E"/>
    <w:rsid w:val="0E470502"/>
    <w:rsid w:val="0EEE6EB9"/>
    <w:rsid w:val="0F5D754F"/>
    <w:rsid w:val="0F8D5650"/>
    <w:rsid w:val="0F9413EC"/>
    <w:rsid w:val="0FCE1C9D"/>
    <w:rsid w:val="0FD532F9"/>
    <w:rsid w:val="0FDC1D13"/>
    <w:rsid w:val="0FE679E8"/>
    <w:rsid w:val="0FEE6FAE"/>
    <w:rsid w:val="107838CD"/>
    <w:rsid w:val="10A51A51"/>
    <w:rsid w:val="10A97255"/>
    <w:rsid w:val="10C90036"/>
    <w:rsid w:val="10E45200"/>
    <w:rsid w:val="112A1486"/>
    <w:rsid w:val="113847BD"/>
    <w:rsid w:val="11444323"/>
    <w:rsid w:val="1178612C"/>
    <w:rsid w:val="117F2B99"/>
    <w:rsid w:val="11921086"/>
    <w:rsid w:val="11CC653F"/>
    <w:rsid w:val="126D5CC6"/>
    <w:rsid w:val="12CE6104"/>
    <w:rsid w:val="12E54A8E"/>
    <w:rsid w:val="13221554"/>
    <w:rsid w:val="132B4BFD"/>
    <w:rsid w:val="134C4E1E"/>
    <w:rsid w:val="137657FA"/>
    <w:rsid w:val="13C90583"/>
    <w:rsid w:val="13E070E9"/>
    <w:rsid w:val="13F82D5E"/>
    <w:rsid w:val="13F9476F"/>
    <w:rsid w:val="142C2F7C"/>
    <w:rsid w:val="14596321"/>
    <w:rsid w:val="145F52A7"/>
    <w:rsid w:val="146A2370"/>
    <w:rsid w:val="14F4791D"/>
    <w:rsid w:val="153A17B2"/>
    <w:rsid w:val="15926E64"/>
    <w:rsid w:val="161E6859"/>
    <w:rsid w:val="16343557"/>
    <w:rsid w:val="16550F32"/>
    <w:rsid w:val="167126F2"/>
    <w:rsid w:val="16D6699A"/>
    <w:rsid w:val="16EF5CC0"/>
    <w:rsid w:val="17244A82"/>
    <w:rsid w:val="176B05C5"/>
    <w:rsid w:val="17C53B00"/>
    <w:rsid w:val="18452A72"/>
    <w:rsid w:val="18484BE5"/>
    <w:rsid w:val="18543D24"/>
    <w:rsid w:val="187910CE"/>
    <w:rsid w:val="18804924"/>
    <w:rsid w:val="18FD32F6"/>
    <w:rsid w:val="19314CBF"/>
    <w:rsid w:val="1961722B"/>
    <w:rsid w:val="19B14522"/>
    <w:rsid w:val="19BA37C2"/>
    <w:rsid w:val="19C50A0A"/>
    <w:rsid w:val="19EE0764"/>
    <w:rsid w:val="19EF621A"/>
    <w:rsid w:val="1A003C25"/>
    <w:rsid w:val="1A0054D5"/>
    <w:rsid w:val="1A7907E5"/>
    <w:rsid w:val="1AE36D1E"/>
    <w:rsid w:val="1AEF035F"/>
    <w:rsid w:val="1B520CEC"/>
    <w:rsid w:val="1B570509"/>
    <w:rsid w:val="1B8C312C"/>
    <w:rsid w:val="1BC23B97"/>
    <w:rsid w:val="1BE31B4D"/>
    <w:rsid w:val="1BFF086B"/>
    <w:rsid w:val="1C2104D1"/>
    <w:rsid w:val="1C6E3ED2"/>
    <w:rsid w:val="1C7338EA"/>
    <w:rsid w:val="1C971E35"/>
    <w:rsid w:val="1C9D2D7E"/>
    <w:rsid w:val="1CA924AD"/>
    <w:rsid w:val="1CB76FD4"/>
    <w:rsid w:val="1CBD159B"/>
    <w:rsid w:val="1CDB5968"/>
    <w:rsid w:val="1CF2198F"/>
    <w:rsid w:val="1D2607B5"/>
    <w:rsid w:val="1D581B3E"/>
    <w:rsid w:val="1D605A19"/>
    <w:rsid w:val="1D723493"/>
    <w:rsid w:val="1D8D1ED2"/>
    <w:rsid w:val="1DA57AE1"/>
    <w:rsid w:val="1DE1109E"/>
    <w:rsid w:val="1DE76B42"/>
    <w:rsid w:val="1DFF7C46"/>
    <w:rsid w:val="1E011EC8"/>
    <w:rsid w:val="1E523957"/>
    <w:rsid w:val="1E7A1B4F"/>
    <w:rsid w:val="1EC968CB"/>
    <w:rsid w:val="1EEA5E9F"/>
    <w:rsid w:val="1F1508D5"/>
    <w:rsid w:val="1F610A90"/>
    <w:rsid w:val="1F7D6E36"/>
    <w:rsid w:val="1F910710"/>
    <w:rsid w:val="1FD52460"/>
    <w:rsid w:val="20152710"/>
    <w:rsid w:val="20201EC2"/>
    <w:rsid w:val="2036230A"/>
    <w:rsid w:val="20B31F18"/>
    <w:rsid w:val="20F177A8"/>
    <w:rsid w:val="20FA7627"/>
    <w:rsid w:val="213222CD"/>
    <w:rsid w:val="21847162"/>
    <w:rsid w:val="21BD5166"/>
    <w:rsid w:val="21E52A34"/>
    <w:rsid w:val="22551E62"/>
    <w:rsid w:val="22A10C5C"/>
    <w:rsid w:val="22A965D2"/>
    <w:rsid w:val="22AB6FED"/>
    <w:rsid w:val="22C328B4"/>
    <w:rsid w:val="23267714"/>
    <w:rsid w:val="23447714"/>
    <w:rsid w:val="234E77A7"/>
    <w:rsid w:val="238624EF"/>
    <w:rsid w:val="23FB0ECA"/>
    <w:rsid w:val="24234DC9"/>
    <w:rsid w:val="24673642"/>
    <w:rsid w:val="24B117D3"/>
    <w:rsid w:val="24B120A3"/>
    <w:rsid w:val="24C030A9"/>
    <w:rsid w:val="255258B8"/>
    <w:rsid w:val="25571122"/>
    <w:rsid w:val="256A6606"/>
    <w:rsid w:val="258A6351"/>
    <w:rsid w:val="258F2B89"/>
    <w:rsid w:val="25DC0923"/>
    <w:rsid w:val="25F8163F"/>
    <w:rsid w:val="26260979"/>
    <w:rsid w:val="262B0949"/>
    <w:rsid w:val="26FC42EC"/>
    <w:rsid w:val="27801A7C"/>
    <w:rsid w:val="27AC4A11"/>
    <w:rsid w:val="27B00079"/>
    <w:rsid w:val="27E43279"/>
    <w:rsid w:val="27FF2649"/>
    <w:rsid w:val="2839380C"/>
    <w:rsid w:val="2845181D"/>
    <w:rsid w:val="288E24A4"/>
    <w:rsid w:val="288E6796"/>
    <w:rsid w:val="291478D4"/>
    <w:rsid w:val="29641932"/>
    <w:rsid w:val="296604A3"/>
    <w:rsid w:val="29900E7B"/>
    <w:rsid w:val="2990551F"/>
    <w:rsid w:val="29AA13B2"/>
    <w:rsid w:val="2A1D5D5C"/>
    <w:rsid w:val="2A5136A8"/>
    <w:rsid w:val="2A7F1991"/>
    <w:rsid w:val="2ADC2A55"/>
    <w:rsid w:val="2B4809D1"/>
    <w:rsid w:val="2B4A21D1"/>
    <w:rsid w:val="2B5C5632"/>
    <w:rsid w:val="2B6739C3"/>
    <w:rsid w:val="2BB41E90"/>
    <w:rsid w:val="2BF428A6"/>
    <w:rsid w:val="2C024BCD"/>
    <w:rsid w:val="2C55584A"/>
    <w:rsid w:val="2C5D364C"/>
    <w:rsid w:val="2C891B78"/>
    <w:rsid w:val="2CA946D8"/>
    <w:rsid w:val="2CAC6259"/>
    <w:rsid w:val="2D1C34F8"/>
    <w:rsid w:val="2D3F3D04"/>
    <w:rsid w:val="2D493246"/>
    <w:rsid w:val="2D7A6CF9"/>
    <w:rsid w:val="2D882428"/>
    <w:rsid w:val="2DAC7DAE"/>
    <w:rsid w:val="2DD2603B"/>
    <w:rsid w:val="2DDA5082"/>
    <w:rsid w:val="2E402DEC"/>
    <w:rsid w:val="2E631EFE"/>
    <w:rsid w:val="2E953B7B"/>
    <w:rsid w:val="2EC31CD8"/>
    <w:rsid w:val="2F15372E"/>
    <w:rsid w:val="2F890E66"/>
    <w:rsid w:val="2F945E84"/>
    <w:rsid w:val="2FB01D49"/>
    <w:rsid w:val="2FCF545B"/>
    <w:rsid w:val="2FFA649D"/>
    <w:rsid w:val="30062758"/>
    <w:rsid w:val="302E2A27"/>
    <w:rsid w:val="309809D7"/>
    <w:rsid w:val="30A71A8B"/>
    <w:rsid w:val="31277A6D"/>
    <w:rsid w:val="312A4E60"/>
    <w:rsid w:val="31AE7611"/>
    <w:rsid w:val="31B859A2"/>
    <w:rsid w:val="31E45330"/>
    <w:rsid w:val="32886E30"/>
    <w:rsid w:val="32C047DE"/>
    <w:rsid w:val="32ED34E9"/>
    <w:rsid w:val="32FD7394"/>
    <w:rsid w:val="33181CC0"/>
    <w:rsid w:val="332A20A1"/>
    <w:rsid w:val="33550D5B"/>
    <w:rsid w:val="338C5ADB"/>
    <w:rsid w:val="33B5339A"/>
    <w:rsid w:val="33CD760B"/>
    <w:rsid w:val="33D650F5"/>
    <w:rsid w:val="33FD5C10"/>
    <w:rsid w:val="340C2693"/>
    <w:rsid w:val="341D63FD"/>
    <w:rsid w:val="345D63E6"/>
    <w:rsid w:val="34683DD1"/>
    <w:rsid w:val="34CB133D"/>
    <w:rsid w:val="34CB3B83"/>
    <w:rsid w:val="34F365BA"/>
    <w:rsid w:val="35301C52"/>
    <w:rsid w:val="35346B69"/>
    <w:rsid w:val="357847BC"/>
    <w:rsid w:val="357C3456"/>
    <w:rsid w:val="35B96727"/>
    <w:rsid w:val="35BA4590"/>
    <w:rsid w:val="35D579E0"/>
    <w:rsid w:val="362E6550"/>
    <w:rsid w:val="36342B40"/>
    <w:rsid w:val="3660009F"/>
    <w:rsid w:val="36622AC7"/>
    <w:rsid w:val="366E217D"/>
    <w:rsid w:val="36782A6C"/>
    <w:rsid w:val="368D718F"/>
    <w:rsid w:val="36BC211D"/>
    <w:rsid w:val="378E262E"/>
    <w:rsid w:val="37D4278F"/>
    <w:rsid w:val="37DE6F0B"/>
    <w:rsid w:val="381F67A5"/>
    <w:rsid w:val="38912EF2"/>
    <w:rsid w:val="38BD2176"/>
    <w:rsid w:val="38EF6761"/>
    <w:rsid w:val="3901072C"/>
    <w:rsid w:val="39440601"/>
    <w:rsid w:val="39491D79"/>
    <w:rsid w:val="395A05A6"/>
    <w:rsid w:val="39803146"/>
    <w:rsid w:val="39832585"/>
    <w:rsid w:val="39AA64EC"/>
    <w:rsid w:val="39B10FB5"/>
    <w:rsid w:val="39B262D8"/>
    <w:rsid w:val="39C75282"/>
    <w:rsid w:val="39E037B5"/>
    <w:rsid w:val="39E42F2E"/>
    <w:rsid w:val="3A49242D"/>
    <w:rsid w:val="3A583ED3"/>
    <w:rsid w:val="3A586A97"/>
    <w:rsid w:val="3AA958D7"/>
    <w:rsid w:val="3B253FF0"/>
    <w:rsid w:val="3BAE6DCE"/>
    <w:rsid w:val="3BC31559"/>
    <w:rsid w:val="3BC5739B"/>
    <w:rsid w:val="3BFA5677"/>
    <w:rsid w:val="3C064783"/>
    <w:rsid w:val="3C5537B3"/>
    <w:rsid w:val="3C88075E"/>
    <w:rsid w:val="3CE069C9"/>
    <w:rsid w:val="3D807BED"/>
    <w:rsid w:val="3D962AD0"/>
    <w:rsid w:val="3DCF25F7"/>
    <w:rsid w:val="3DF062C7"/>
    <w:rsid w:val="3DFB5AE7"/>
    <w:rsid w:val="3E31551E"/>
    <w:rsid w:val="3E3C10F7"/>
    <w:rsid w:val="3E667CEF"/>
    <w:rsid w:val="3E7C4091"/>
    <w:rsid w:val="3EA70711"/>
    <w:rsid w:val="3EE86104"/>
    <w:rsid w:val="3F125160"/>
    <w:rsid w:val="3F283EC8"/>
    <w:rsid w:val="3F472A80"/>
    <w:rsid w:val="3F7E72B7"/>
    <w:rsid w:val="3FB50C17"/>
    <w:rsid w:val="3FDE5A7D"/>
    <w:rsid w:val="3FE24C5D"/>
    <w:rsid w:val="3FEF16AD"/>
    <w:rsid w:val="40000E21"/>
    <w:rsid w:val="400E2745"/>
    <w:rsid w:val="401F5295"/>
    <w:rsid w:val="40207215"/>
    <w:rsid w:val="402D50D4"/>
    <w:rsid w:val="40392148"/>
    <w:rsid w:val="40AA485B"/>
    <w:rsid w:val="40B06306"/>
    <w:rsid w:val="40BB2C38"/>
    <w:rsid w:val="40BC67FA"/>
    <w:rsid w:val="4107654A"/>
    <w:rsid w:val="41424F21"/>
    <w:rsid w:val="41531BA7"/>
    <w:rsid w:val="417E7F01"/>
    <w:rsid w:val="41C0096A"/>
    <w:rsid w:val="4227480E"/>
    <w:rsid w:val="426339F7"/>
    <w:rsid w:val="42FC2BAF"/>
    <w:rsid w:val="431B31A5"/>
    <w:rsid w:val="433E3216"/>
    <w:rsid w:val="43704863"/>
    <w:rsid w:val="437D544A"/>
    <w:rsid w:val="438967C3"/>
    <w:rsid w:val="43942C0E"/>
    <w:rsid w:val="43A64F48"/>
    <w:rsid w:val="44250D7F"/>
    <w:rsid w:val="44481EBB"/>
    <w:rsid w:val="44605A3B"/>
    <w:rsid w:val="44846687"/>
    <w:rsid w:val="449E6625"/>
    <w:rsid w:val="44B71CCD"/>
    <w:rsid w:val="44C52915"/>
    <w:rsid w:val="44D84400"/>
    <w:rsid w:val="44DC28AE"/>
    <w:rsid w:val="44F92736"/>
    <w:rsid w:val="451851EA"/>
    <w:rsid w:val="452F00A3"/>
    <w:rsid w:val="45303B1C"/>
    <w:rsid w:val="45555A0D"/>
    <w:rsid w:val="45A60F6C"/>
    <w:rsid w:val="45A72A9E"/>
    <w:rsid w:val="45B250F8"/>
    <w:rsid w:val="4654277E"/>
    <w:rsid w:val="46776844"/>
    <w:rsid w:val="46A52F4F"/>
    <w:rsid w:val="46BC354B"/>
    <w:rsid w:val="4708585C"/>
    <w:rsid w:val="4757351A"/>
    <w:rsid w:val="4757468C"/>
    <w:rsid w:val="477E2BE9"/>
    <w:rsid w:val="478E1476"/>
    <w:rsid w:val="47B337CC"/>
    <w:rsid w:val="47BC5BDA"/>
    <w:rsid w:val="47EE38B1"/>
    <w:rsid w:val="483D3D8D"/>
    <w:rsid w:val="48555477"/>
    <w:rsid w:val="48A95DB4"/>
    <w:rsid w:val="48B057ED"/>
    <w:rsid w:val="48C54AE4"/>
    <w:rsid w:val="48F77E57"/>
    <w:rsid w:val="496D5E71"/>
    <w:rsid w:val="49A64C7E"/>
    <w:rsid w:val="49C3230F"/>
    <w:rsid w:val="49D032EC"/>
    <w:rsid w:val="4A096E7E"/>
    <w:rsid w:val="4A3C4971"/>
    <w:rsid w:val="4A7C4424"/>
    <w:rsid w:val="4AAD3276"/>
    <w:rsid w:val="4AFE649A"/>
    <w:rsid w:val="4B09035C"/>
    <w:rsid w:val="4B516521"/>
    <w:rsid w:val="4BB77FC1"/>
    <w:rsid w:val="4BCF19A2"/>
    <w:rsid w:val="4BEC14D9"/>
    <w:rsid w:val="4C154AC9"/>
    <w:rsid w:val="4C43492C"/>
    <w:rsid w:val="4C4B5388"/>
    <w:rsid w:val="4C624C76"/>
    <w:rsid w:val="4C8F3727"/>
    <w:rsid w:val="4C9A5DA6"/>
    <w:rsid w:val="4CA778BC"/>
    <w:rsid w:val="4CAF2589"/>
    <w:rsid w:val="4CBA7C68"/>
    <w:rsid w:val="4CE770A2"/>
    <w:rsid w:val="4D2E2C54"/>
    <w:rsid w:val="4D677E92"/>
    <w:rsid w:val="4D933D41"/>
    <w:rsid w:val="4DF310C5"/>
    <w:rsid w:val="4E11487A"/>
    <w:rsid w:val="4E1942D8"/>
    <w:rsid w:val="4E373447"/>
    <w:rsid w:val="4E4D6BED"/>
    <w:rsid w:val="4EC20AEC"/>
    <w:rsid w:val="4F300E32"/>
    <w:rsid w:val="4F771FD1"/>
    <w:rsid w:val="4F7A5D14"/>
    <w:rsid w:val="4F7C2E75"/>
    <w:rsid w:val="4FB3554D"/>
    <w:rsid w:val="4FDB6CDC"/>
    <w:rsid w:val="501B7CFD"/>
    <w:rsid w:val="502F0B73"/>
    <w:rsid w:val="50C37E7A"/>
    <w:rsid w:val="50F947B3"/>
    <w:rsid w:val="51092184"/>
    <w:rsid w:val="511F7EB3"/>
    <w:rsid w:val="51A61200"/>
    <w:rsid w:val="51B50BAB"/>
    <w:rsid w:val="521C53E4"/>
    <w:rsid w:val="527D10F7"/>
    <w:rsid w:val="528511F5"/>
    <w:rsid w:val="52A937ED"/>
    <w:rsid w:val="53376114"/>
    <w:rsid w:val="533B4F85"/>
    <w:rsid w:val="534830BB"/>
    <w:rsid w:val="534E0A35"/>
    <w:rsid w:val="536227DB"/>
    <w:rsid w:val="53D153EA"/>
    <w:rsid w:val="53D2450B"/>
    <w:rsid w:val="53EB715D"/>
    <w:rsid w:val="54231070"/>
    <w:rsid w:val="54516975"/>
    <w:rsid w:val="546F47F1"/>
    <w:rsid w:val="5492094F"/>
    <w:rsid w:val="54C93027"/>
    <w:rsid w:val="54CA5FBD"/>
    <w:rsid w:val="54ED3E9E"/>
    <w:rsid w:val="55265AD1"/>
    <w:rsid w:val="55624DF0"/>
    <w:rsid w:val="55801C9B"/>
    <w:rsid w:val="558428EF"/>
    <w:rsid w:val="55CD3F78"/>
    <w:rsid w:val="562B6D19"/>
    <w:rsid w:val="563128F3"/>
    <w:rsid w:val="56333A47"/>
    <w:rsid w:val="56687217"/>
    <w:rsid w:val="568277E7"/>
    <w:rsid w:val="56884BF5"/>
    <w:rsid w:val="56923E25"/>
    <w:rsid w:val="56B15288"/>
    <w:rsid w:val="56FE1CFD"/>
    <w:rsid w:val="579D3E8F"/>
    <w:rsid w:val="57AA755E"/>
    <w:rsid w:val="57D76CA0"/>
    <w:rsid w:val="583516CF"/>
    <w:rsid w:val="58611DB5"/>
    <w:rsid w:val="5863030F"/>
    <w:rsid w:val="587902B5"/>
    <w:rsid w:val="588658BC"/>
    <w:rsid w:val="58ED2456"/>
    <w:rsid w:val="58F16C7A"/>
    <w:rsid w:val="58FF1CD5"/>
    <w:rsid w:val="59202950"/>
    <w:rsid w:val="593C0CC5"/>
    <w:rsid w:val="593E3B0B"/>
    <w:rsid w:val="59487688"/>
    <w:rsid w:val="59563ECF"/>
    <w:rsid w:val="596D540A"/>
    <w:rsid w:val="59AC7776"/>
    <w:rsid w:val="59CF57AA"/>
    <w:rsid w:val="5A0132AC"/>
    <w:rsid w:val="5A224891"/>
    <w:rsid w:val="5A90766F"/>
    <w:rsid w:val="5AB91638"/>
    <w:rsid w:val="5B0A1C6F"/>
    <w:rsid w:val="5B19367A"/>
    <w:rsid w:val="5B3B47E7"/>
    <w:rsid w:val="5BAE6464"/>
    <w:rsid w:val="5BB603FD"/>
    <w:rsid w:val="5BC215E9"/>
    <w:rsid w:val="5C1F6E31"/>
    <w:rsid w:val="5C4644D9"/>
    <w:rsid w:val="5C9E7912"/>
    <w:rsid w:val="5CAD0C07"/>
    <w:rsid w:val="5CBB0F9F"/>
    <w:rsid w:val="5CD31795"/>
    <w:rsid w:val="5CF91385"/>
    <w:rsid w:val="5DD067F8"/>
    <w:rsid w:val="5DFB7FAC"/>
    <w:rsid w:val="5E0F52B1"/>
    <w:rsid w:val="5E6D0969"/>
    <w:rsid w:val="5E7330A1"/>
    <w:rsid w:val="5EBE5FEA"/>
    <w:rsid w:val="5EC4160C"/>
    <w:rsid w:val="5ECB2227"/>
    <w:rsid w:val="5EDF69B5"/>
    <w:rsid w:val="5EFC1FF9"/>
    <w:rsid w:val="5EFD6C3A"/>
    <w:rsid w:val="5F005C61"/>
    <w:rsid w:val="5F166DB0"/>
    <w:rsid w:val="5F174EA2"/>
    <w:rsid w:val="5F2B1033"/>
    <w:rsid w:val="5F3A1034"/>
    <w:rsid w:val="5FAC45C6"/>
    <w:rsid w:val="5FD46738"/>
    <w:rsid w:val="5FE50461"/>
    <w:rsid w:val="5FF66059"/>
    <w:rsid w:val="60690872"/>
    <w:rsid w:val="607F741D"/>
    <w:rsid w:val="61882C2E"/>
    <w:rsid w:val="61AB592D"/>
    <w:rsid w:val="61E324A5"/>
    <w:rsid w:val="62366073"/>
    <w:rsid w:val="627451BD"/>
    <w:rsid w:val="62810869"/>
    <w:rsid w:val="62D1432C"/>
    <w:rsid w:val="632E68FD"/>
    <w:rsid w:val="63562B86"/>
    <w:rsid w:val="637848FF"/>
    <w:rsid w:val="63BE439A"/>
    <w:rsid w:val="63F20E65"/>
    <w:rsid w:val="63F7410E"/>
    <w:rsid w:val="64062072"/>
    <w:rsid w:val="641C3DCB"/>
    <w:rsid w:val="64537A97"/>
    <w:rsid w:val="6546521E"/>
    <w:rsid w:val="65874919"/>
    <w:rsid w:val="65995890"/>
    <w:rsid w:val="65CE6580"/>
    <w:rsid w:val="65DA4DB8"/>
    <w:rsid w:val="65E70F52"/>
    <w:rsid w:val="65F6661A"/>
    <w:rsid w:val="66AD5901"/>
    <w:rsid w:val="66B75868"/>
    <w:rsid w:val="66C74EAC"/>
    <w:rsid w:val="66D91C48"/>
    <w:rsid w:val="66E30D56"/>
    <w:rsid w:val="66E618EE"/>
    <w:rsid w:val="674D1867"/>
    <w:rsid w:val="6797750C"/>
    <w:rsid w:val="67A41BAC"/>
    <w:rsid w:val="67BD4BFF"/>
    <w:rsid w:val="681B2249"/>
    <w:rsid w:val="6820746F"/>
    <w:rsid w:val="688F0940"/>
    <w:rsid w:val="68E976F4"/>
    <w:rsid w:val="68EC3C32"/>
    <w:rsid w:val="69023BD7"/>
    <w:rsid w:val="691C0C75"/>
    <w:rsid w:val="69362225"/>
    <w:rsid w:val="698E5AB6"/>
    <w:rsid w:val="699234B5"/>
    <w:rsid w:val="69A433E0"/>
    <w:rsid w:val="69C64B4F"/>
    <w:rsid w:val="69D65A92"/>
    <w:rsid w:val="69E63E4A"/>
    <w:rsid w:val="69E676CD"/>
    <w:rsid w:val="6A2E544B"/>
    <w:rsid w:val="6A452D2E"/>
    <w:rsid w:val="6A666CAB"/>
    <w:rsid w:val="6A6C6035"/>
    <w:rsid w:val="6A6E527E"/>
    <w:rsid w:val="6A935267"/>
    <w:rsid w:val="6AD17A42"/>
    <w:rsid w:val="6AD73229"/>
    <w:rsid w:val="6ADA687E"/>
    <w:rsid w:val="6B4C2277"/>
    <w:rsid w:val="6B4D7292"/>
    <w:rsid w:val="6B7454D6"/>
    <w:rsid w:val="6BA847E2"/>
    <w:rsid w:val="6BAC7A92"/>
    <w:rsid w:val="6BBC2314"/>
    <w:rsid w:val="6C1A3DE9"/>
    <w:rsid w:val="6C2321D3"/>
    <w:rsid w:val="6C25774B"/>
    <w:rsid w:val="6C357AA9"/>
    <w:rsid w:val="6C662BE4"/>
    <w:rsid w:val="6C773CE8"/>
    <w:rsid w:val="6C9A6EB6"/>
    <w:rsid w:val="6C9F70EE"/>
    <w:rsid w:val="6CE7460E"/>
    <w:rsid w:val="6D3C08A1"/>
    <w:rsid w:val="6D5315A2"/>
    <w:rsid w:val="6DA24A1B"/>
    <w:rsid w:val="6E0D7A9C"/>
    <w:rsid w:val="6E442175"/>
    <w:rsid w:val="6E6F683C"/>
    <w:rsid w:val="6E7064BC"/>
    <w:rsid w:val="6E732478"/>
    <w:rsid w:val="6E7D2EC6"/>
    <w:rsid w:val="6F073538"/>
    <w:rsid w:val="6F1C7C5A"/>
    <w:rsid w:val="6F267C71"/>
    <w:rsid w:val="6F421B96"/>
    <w:rsid w:val="6F712A50"/>
    <w:rsid w:val="6FA75DD2"/>
    <w:rsid w:val="6FCB0CF7"/>
    <w:rsid w:val="701F1F50"/>
    <w:rsid w:val="704F598A"/>
    <w:rsid w:val="70533E76"/>
    <w:rsid w:val="708D1818"/>
    <w:rsid w:val="70AE4814"/>
    <w:rsid w:val="70BE6F20"/>
    <w:rsid w:val="70DF7255"/>
    <w:rsid w:val="715D5C0A"/>
    <w:rsid w:val="717D3F41"/>
    <w:rsid w:val="7183574F"/>
    <w:rsid w:val="722A516D"/>
    <w:rsid w:val="7231248C"/>
    <w:rsid w:val="728851F5"/>
    <w:rsid w:val="729F75AB"/>
    <w:rsid w:val="72C267D6"/>
    <w:rsid w:val="730D71D6"/>
    <w:rsid w:val="73117C92"/>
    <w:rsid w:val="736C32BD"/>
    <w:rsid w:val="739E406D"/>
    <w:rsid w:val="748B5DC2"/>
    <w:rsid w:val="74A0515F"/>
    <w:rsid w:val="75580D01"/>
    <w:rsid w:val="75A928A1"/>
    <w:rsid w:val="75E8123F"/>
    <w:rsid w:val="761D2904"/>
    <w:rsid w:val="763273F7"/>
    <w:rsid w:val="763A43E1"/>
    <w:rsid w:val="766C51A0"/>
    <w:rsid w:val="76830E43"/>
    <w:rsid w:val="768A1FFF"/>
    <w:rsid w:val="76931A1A"/>
    <w:rsid w:val="76F507BA"/>
    <w:rsid w:val="76F8510C"/>
    <w:rsid w:val="774B5945"/>
    <w:rsid w:val="77CF4CB4"/>
    <w:rsid w:val="78402BDA"/>
    <w:rsid w:val="78B2749D"/>
    <w:rsid w:val="78E416F6"/>
    <w:rsid w:val="78FF025D"/>
    <w:rsid w:val="79347F61"/>
    <w:rsid w:val="79732676"/>
    <w:rsid w:val="79A76CAC"/>
    <w:rsid w:val="79AC1C2C"/>
    <w:rsid w:val="79BF0A3A"/>
    <w:rsid w:val="79F1696C"/>
    <w:rsid w:val="7A18558E"/>
    <w:rsid w:val="7A2A43DA"/>
    <w:rsid w:val="7A427FEE"/>
    <w:rsid w:val="7A6F6B69"/>
    <w:rsid w:val="7A771A1C"/>
    <w:rsid w:val="7ABE204C"/>
    <w:rsid w:val="7AC5017B"/>
    <w:rsid w:val="7ADF19EE"/>
    <w:rsid w:val="7AF64FA9"/>
    <w:rsid w:val="7B533262"/>
    <w:rsid w:val="7B5C1CD7"/>
    <w:rsid w:val="7B6B1B90"/>
    <w:rsid w:val="7BAE612D"/>
    <w:rsid w:val="7BC255FC"/>
    <w:rsid w:val="7BF7008D"/>
    <w:rsid w:val="7C526B40"/>
    <w:rsid w:val="7C7739D8"/>
    <w:rsid w:val="7CAA5E0A"/>
    <w:rsid w:val="7CAD4A7A"/>
    <w:rsid w:val="7D1E1CD1"/>
    <w:rsid w:val="7D256A1C"/>
    <w:rsid w:val="7D283DCA"/>
    <w:rsid w:val="7D3C5560"/>
    <w:rsid w:val="7D3D7B44"/>
    <w:rsid w:val="7D620D26"/>
    <w:rsid w:val="7D786920"/>
    <w:rsid w:val="7D883202"/>
    <w:rsid w:val="7DA75CB5"/>
    <w:rsid w:val="7E5570D2"/>
    <w:rsid w:val="7E5F23A0"/>
    <w:rsid w:val="7E936110"/>
    <w:rsid w:val="7F1908E9"/>
    <w:rsid w:val="7F2464A6"/>
    <w:rsid w:val="7F34445C"/>
    <w:rsid w:val="7F682FB8"/>
    <w:rsid w:val="7F714480"/>
    <w:rsid w:val="7F7A3631"/>
    <w:rsid w:val="7F855246"/>
    <w:rsid w:val="7FB963C3"/>
    <w:rsid w:val="7FDE4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宋体"/>
      <w:lang w:val="en-US" w:eastAsia="en-US"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b/>
      <w:bCs/>
      <w:kern w:val="36"/>
      <w:sz w:val="48"/>
      <w:szCs w:val="48"/>
    </w:rPr>
  </w:style>
  <w:style w:type="paragraph" w:styleId="5">
    <w:name w:val="heading 2"/>
    <w:basedOn w:val="1"/>
    <w:next w:val="1"/>
    <w:qFormat/>
    <w:uiPriority w:val="0"/>
    <w:pPr>
      <w:keepNext/>
      <w:keepLines/>
      <w:spacing w:before="260" w:after="260" w:line="415" w:lineRule="auto"/>
      <w:outlineLvl w:val="1"/>
    </w:pPr>
    <w:rPr>
      <w:rFonts w:ascii="Arial" w:hAnsi="Arial" w:eastAsia="黑体" w:cs="Times New Roman"/>
      <w:b/>
      <w:kern w:val="2"/>
      <w:sz w:val="32"/>
      <w:szCs w:val="32"/>
      <w:lang w:eastAsia="zh-CN"/>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eastAsia="宋体" w:cs="Times New Roman"/>
      <w:b/>
      <w:sz w:val="27"/>
      <w:szCs w:val="27"/>
      <w:lang w:eastAsia="zh-CN"/>
    </w:rPr>
  </w:style>
  <w:style w:type="paragraph" w:styleId="7">
    <w:name w:val="heading 4"/>
    <w:basedOn w:val="1"/>
    <w:next w:val="1"/>
    <w:qFormat/>
    <w:uiPriority w:val="0"/>
    <w:pPr>
      <w:keepNext/>
      <w:keepLines/>
      <w:spacing w:line="360" w:lineRule="auto"/>
      <w:outlineLvl w:val="3"/>
    </w:pPr>
    <w:rPr>
      <w:rFonts w:ascii="Cambria" w:hAnsi="Cambria"/>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table of authorities"/>
    <w:basedOn w:val="1"/>
    <w:next w:val="1"/>
    <w:qFormat/>
    <w:uiPriority w:val="99"/>
    <w:pPr>
      <w:ind w:left="420" w:leftChars="200"/>
    </w:pPr>
  </w:style>
  <w:style w:type="paragraph" w:styleId="9">
    <w:name w:val="Normal Indent"/>
    <w:basedOn w:val="1"/>
    <w:qFormat/>
    <w:uiPriority w:val="0"/>
    <w:pPr>
      <w:ind w:firstLine="420"/>
    </w:pPr>
    <w:rPr>
      <w:kern w:val="2"/>
    </w:rPr>
  </w:style>
  <w:style w:type="paragraph" w:styleId="10">
    <w:name w:val="annotation text"/>
    <w:basedOn w:val="1"/>
    <w:link w:val="66"/>
    <w:qFormat/>
    <w:uiPriority w:val="0"/>
    <w:pPr>
      <w:jc w:val="left"/>
    </w:pPr>
  </w:style>
  <w:style w:type="paragraph" w:styleId="11">
    <w:name w:val="Body Text Indent"/>
    <w:basedOn w:val="1"/>
    <w:next w:val="12"/>
    <w:link w:val="38"/>
    <w:qFormat/>
    <w:uiPriority w:val="0"/>
    <w:pPr>
      <w:spacing w:after="120"/>
      <w:ind w:left="420" w:leftChars="200"/>
    </w:pPr>
    <w:rPr>
      <w:kern w:val="2"/>
      <w:sz w:val="24"/>
    </w:rPr>
  </w:style>
  <w:style w:type="paragraph" w:styleId="12">
    <w:name w:val="envelope return"/>
    <w:basedOn w:val="1"/>
    <w:qFormat/>
    <w:uiPriority w:val="0"/>
    <w:pPr>
      <w:snapToGrid w:val="0"/>
    </w:pPr>
    <w:rPr>
      <w:rFonts w:ascii="Arial" w:hAnsi="Arial"/>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cs="Courier New"/>
      <w:szCs w:val="21"/>
    </w:rPr>
  </w:style>
  <w:style w:type="paragraph" w:styleId="15">
    <w:name w:val="Date"/>
    <w:basedOn w:val="1"/>
    <w:next w:val="1"/>
    <w:qFormat/>
    <w:uiPriority w:val="0"/>
    <w:rPr>
      <w:rFonts w:eastAsia="楷体_GB2312"/>
      <w:sz w:val="32"/>
      <w:szCs w:val="30"/>
    </w:rPr>
  </w:style>
  <w:style w:type="paragraph" w:styleId="16">
    <w:name w:val="Body Text Indent 2"/>
    <w:basedOn w:val="1"/>
    <w:link w:val="65"/>
    <w:qFormat/>
    <w:uiPriority w:val="0"/>
    <w:pPr>
      <w:spacing w:after="120" w:line="480" w:lineRule="auto"/>
      <w:ind w:left="420" w:leftChars="200"/>
    </w:pPr>
  </w:style>
  <w:style w:type="paragraph" w:styleId="17">
    <w:name w:val="Balloon Text"/>
    <w:basedOn w:val="1"/>
    <w:link w:val="68"/>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Body Text Indent 3"/>
    <w:basedOn w:val="1"/>
    <w:qFormat/>
    <w:uiPriority w:val="0"/>
    <w:pPr>
      <w:ind w:firstLine="540" w:firstLineChars="225"/>
    </w:pPr>
    <w:rPr>
      <w:sz w:val="24"/>
    </w:rPr>
  </w:style>
  <w:style w:type="paragraph" w:styleId="22">
    <w:name w:val="toc 2"/>
    <w:basedOn w:val="1"/>
    <w:next w:val="1"/>
    <w:qFormat/>
    <w:uiPriority w:val="0"/>
    <w:pPr>
      <w:ind w:left="420" w:leftChars="200"/>
    </w:p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24">
    <w:name w:val="Normal (Web)"/>
    <w:basedOn w:val="1"/>
    <w:qFormat/>
    <w:uiPriority w:val="0"/>
    <w:pPr>
      <w:jc w:val="left"/>
    </w:pPr>
    <w:rPr>
      <w:rFonts w:cs="Times New Roman"/>
      <w:sz w:val="24"/>
      <w:lang w:eastAsia="zh-CN"/>
    </w:rPr>
  </w:style>
  <w:style w:type="paragraph" w:styleId="25">
    <w:name w:val="annotation subject"/>
    <w:basedOn w:val="10"/>
    <w:next w:val="10"/>
    <w:link w:val="67"/>
    <w:qFormat/>
    <w:uiPriority w:val="0"/>
    <w:rPr>
      <w:b/>
      <w:bCs/>
    </w:rPr>
  </w:style>
  <w:style w:type="paragraph" w:styleId="26">
    <w:name w:val="Body Text First Indent"/>
    <w:basedOn w:val="2"/>
    <w:unhideWhenUsed/>
    <w:qFormat/>
    <w:uiPriority w:val="99"/>
    <w:pPr>
      <w:ind w:firstLine="420" w:firstLineChars="100"/>
    </w:pPr>
  </w:style>
  <w:style w:type="paragraph" w:styleId="27">
    <w:name w:val="Body Text First Indent 2"/>
    <w:basedOn w:val="11"/>
    <w:link w:val="37"/>
    <w:qFormat/>
    <w:uiPriority w:val="0"/>
    <w:pPr>
      <w:ind w:firstLine="420" w:firstLineChars="200"/>
    </w:pPr>
    <w:rPr>
      <w:kern w:val="0"/>
      <w:sz w:val="20"/>
    </w:rPr>
  </w:style>
  <w:style w:type="table" w:styleId="29">
    <w:name w:val="Table Grid"/>
    <w:basedOn w:val="2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FollowedHyperlink"/>
    <w:basedOn w:val="30"/>
    <w:qFormat/>
    <w:uiPriority w:val="0"/>
    <w:rPr>
      <w:color w:val="333333"/>
      <w:u w:val="none"/>
    </w:rPr>
  </w:style>
  <w:style w:type="character" w:styleId="33">
    <w:name w:val="Hyperlink"/>
    <w:basedOn w:val="30"/>
    <w:qFormat/>
    <w:uiPriority w:val="0"/>
    <w:rPr>
      <w:color w:val="333333"/>
      <w:u w:val="none"/>
    </w:rPr>
  </w:style>
  <w:style w:type="character" w:styleId="34">
    <w:name w:val="annotation reference"/>
    <w:basedOn w:val="30"/>
    <w:qFormat/>
    <w:uiPriority w:val="0"/>
    <w:rPr>
      <w:sz w:val="21"/>
      <w:szCs w:val="21"/>
    </w:rPr>
  </w:style>
  <w:style w:type="character" w:customStyle="1" w:styleId="35">
    <w:name w:val="wz11"/>
    <w:basedOn w:val="30"/>
    <w:qFormat/>
    <w:uiPriority w:val="0"/>
    <w:rPr>
      <w:rFonts w:hint="default" w:ascii="Verdana" w:hAnsi="Verdana"/>
      <w:color w:val="333333"/>
      <w:sz w:val="18"/>
      <w:szCs w:val="18"/>
    </w:rPr>
  </w:style>
  <w:style w:type="character" w:customStyle="1" w:styleId="36">
    <w:name w:val="one5"/>
    <w:basedOn w:val="30"/>
    <w:qFormat/>
    <w:uiPriority w:val="0"/>
    <w:rPr>
      <w:shd w:val="clear" w:color="auto" w:fill="357FED"/>
    </w:rPr>
  </w:style>
  <w:style w:type="character" w:customStyle="1" w:styleId="37">
    <w:name w:val="正文文本首行缩进 2 字符"/>
    <w:basedOn w:val="38"/>
    <w:link w:val="27"/>
    <w:qFormat/>
    <w:uiPriority w:val="0"/>
    <w:rPr>
      <w:rFonts w:eastAsia="Times New Roman" w:cs="宋体"/>
      <w:kern w:val="2"/>
      <w:sz w:val="24"/>
      <w:lang w:eastAsia="en-US"/>
    </w:rPr>
  </w:style>
  <w:style w:type="character" w:customStyle="1" w:styleId="38">
    <w:name w:val="正文文本缩进 字符"/>
    <w:basedOn w:val="30"/>
    <w:link w:val="11"/>
    <w:qFormat/>
    <w:uiPriority w:val="0"/>
    <w:rPr>
      <w:rFonts w:eastAsia="Times New Roman" w:cs="宋体"/>
      <w:kern w:val="2"/>
      <w:sz w:val="24"/>
      <w:lang w:eastAsia="en-US"/>
    </w:rPr>
  </w:style>
  <w:style w:type="character" w:customStyle="1" w:styleId="39">
    <w:name w:val="font81"/>
    <w:basedOn w:val="30"/>
    <w:qFormat/>
    <w:uiPriority w:val="0"/>
    <w:rPr>
      <w:rFonts w:hint="eastAsia" w:ascii="宋体" w:hAnsi="宋体" w:eastAsia="宋体" w:cs="宋体"/>
      <w:color w:val="FF0000"/>
      <w:sz w:val="20"/>
      <w:szCs w:val="20"/>
      <w:u w:val="none"/>
    </w:rPr>
  </w:style>
  <w:style w:type="character" w:customStyle="1" w:styleId="40">
    <w:name w:val="one1"/>
    <w:basedOn w:val="30"/>
    <w:qFormat/>
    <w:uiPriority w:val="0"/>
    <w:rPr>
      <w:color w:val="FFFFFF"/>
      <w:sz w:val="30"/>
      <w:szCs w:val="30"/>
      <w:shd w:val="clear" w:color="auto" w:fill="F3514C"/>
    </w:rPr>
  </w:style>
  <w:style w:type="character" w:customStyle="1" w:styleId="41">
    <w:name w:val="ca-121"/>
    <w:basedOn w:val="30"/>
    <w:qFormat/>
    <w:uiPriority w:val="0"/>
    <w:rPr>
      <w:rFonts w:hint="eastAsia" w:ascii="仿宋_GB2312" w:eastAsia="仿宋_GB2312"/>
      <w:sz w:val="24"/>
      <w:szCs w:val="24"/>
    </w:rPr>
  </w:style>
  <w:style w:type="character" w:customStyle="1" w:styleId="42">
    <w:name w:val="one3"/>
    <w:basedOn w:val="30"/>
    <w:qFormat/>
    <w:uiPriority w:val="0"/>
    <w:rPr>
      <w:shd w:val="clear" w:color="auto" w:fill="1EC963"/>
    </w:rPr>
  </w:style>
  <w:style w:type="character" w:customStyle="1" w:styleId="43">
    <w:name w:val="font21"/>
    <w:basedOn w:val="30"/>
    <w:qFormat/>
    <w:uiPriority w:val="0"/>
    <w:rPr>
      <w:rFonts w:ascii="Arial" w:hAnsi="Arial" w:cs="Arial"/>
      <w:color w:val="000000"/>
      <w:sz w:val="20"/>
      <w:szCs w:val="20"/>
      <w:u w:val="none"/>
    </w:rPr>
  </w:style>
  <w:style w:type="character" w:customStyle="1" w:styleId="44">
    <w:name w:val="one11"/>
    <w:basedOn w:val="30"/>
    <w:qFormat/>
    <w:uiPriority w:val="0"/>
    <w:rPr>
      <w:color w:val="FFFFFF"/>
      <w:sz w:val="30"/>
      <w:szCs w:val="30"/>
      <w:shd w:val="clear" w:color="auto" w:fill="F3514C"/>
    </w:rPr>
  </w:style>
  <w:style w:type="character" w:customStyle="1" w:styleId="45">
    <w:name w:val="apple-converted-space"/>
    <w:qFormat/>
    <w:uiPriority w:val="0"/>
  </w:style>
  <w:style w:type="character" w:customStyle="1" w:styleId="46">
    <w:name w:val="one4"/>
    <w:basedOn w:val="30"/>
    <w:qFormat/>
    <w:uiPriority w:val="0"/>
    <w:rPr>
      <w:shd w:val="clear" w:color="auto" w:fill="22A0F0"/>
    </w:rPr>
  </w:style>
  <w:style w:type="character" w:customStyle="1" w:styleId="47">
    <w:name w:val="one2"/>
    <w:basedOn w:val="30"/>
    <w:qFormat/>
    <w:uiPriority w:val="0"/>
    <w:rPr>
      <w:shd w:val="clear" w:color="auto" w:fill="FBB00F"/>
    </w:rPr>
  </w:style>
  <w:style w:type="paragraph" w:customStyle="1" w:styleId="48">
    <w:name w:val="文本块1"/>
    <w:basedOn w:val="49"/>
    <w:qFormat/>
    <w:uiPriority w:val="0"/>
    <w:pPr>
      <w:spacing w:line="360" w:lineRule="auto"/>
      <w:ind w:left="630" w:firstLine="420"/>
    </w:pPr>
    <w:rPr>
      <w:rFonts w:ascii="仿宋_GB2312" w:hAnsi="仿宋_GB2312" w:eastAsia="仿宋_GB2312"/>
    </w:rPr>
  </w:style>
  <w:style w:type="paragraph" w:customStyle="1" w:styleId="49">
    <w:name w:val="Normal_0"/>
    <w:basedOn w:val="1"/>
    <w:qFormat/>
    <w:uiPriority w:val="0"/>
  </w:style>
  <w:style w:type="paragraph" w:customStyle="1" w:styleId="50">
    <w:name w:val="列出段落1"/>
    <w:basedOn w:val="49"/>
    <w:qFormat/>
    <w:uiPriority w:val="0"/>
    <w:pPr>
      <w:ind w:firstLine="420"/>
    </w:pPr>
  </w:style>
  <w:style w:type="paragraph" w:customStyle="1" w:styleId="51">
    <w:name w:val="正文（缩进）"/>
    <w:basedOn w:val="1"/>
    <w:qFormat/>
    <w:uiPriority w:val="0"/>
    <w:pPr>
      <w:spacing w:before="50" w:after="50"/>
      <w:ind w:firstLine="200" w:firstLineChars="200"/>
    </w:pPr>
    <w:rPr>
      <w:szCs w:val="22"/>
    </w:rPr>
  </w:style>
  <w:style w:type="paragraph" w:customStyle="1" w:styleId="52">
    <w:name w:val="p0"/>
    <w:basedOn w:val="1"/>
    <w:qFormat/>
    <w:uiPriority w:val="0"/>
    <w:pPr>
      <w:widowControl/>
      <w:spacing w:line="365" w:lineRule="atLeast"/>
      <w:ind w:left="1"/>
    </w:pPr>
    <w:rPr>
      <w:sz w:val="24"/>
    </w:rPr>
  </w:style>
  <w:style w:type="paragraph" w:customStyle="1" w:styleId="53">
    <w:name w:val="TOC 标题1"/>
    <w:basedOn w:val="4"/>
    <w:next w:val="1"/>
    <w:qFormat/>
    <w:uiPriority w:val="39"/>
    <w:pPr>
      <w:spacing w:before="480" w:after="0" w:line="276" w:lineRule="auto"/>
      <w:outlineLvl w:val="9"/>
    </w:pPr>
    <w:rPr>
      <w:rFonts w:ascii="仿宋" w:hAnsi="仿宋" w:eastAsia="仿宋"/>
      <w:color w:val="000000"/>
      <w:kern w:val="0"/>
      <w:sz w:val="32"/>
      <w:szCs w:val="32"/>
    </w:rPr>
  </w:style>
  <w:style w:type="paragraph" w:customStyle="1" w:styleId="54">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p16"/>
    <w:basedOn w:val="1"/>
    <w:qFormat/>
    <w:uiPriority w:val="0"/>
    <w:pPr>
      <w:widowControl/>
      <w:spacing w:beforeAutospacing="1" w:afterAutospacing="1"/>
      <w:jc w:val="left"/>
    </w:pPr>
    <w:rPr>
      <w:rFonts w:ascii="宋体" w:hAnsi="宋体"/>
      <w:sz w:val="24"/>
      <w:szCs w:val="24"/>
    </w:rPr>
  </w:style>
  <w:style w:type="paragraph" w:customStyle="1" w:styleId="56">
    <w:name w:val="WPSOffice手动目录 1"/>
    <w:qFormat/>
    <w:uiPriority w:val="0"/>
    <w:rPr>
      <w:rFonts w:ascii="Times New Roman" w:hAnsi="Times New Roman" w:eastAsia="宋体" w:cs="Times New Roman"/>
      <w:lang w:val="en-US" w:eastAsia="zh-CN" w:bidi="ar-SA"/>
    </w:rPr>
  </w:style>
  <w:style w:type="paragraph" w:customStyle="1" w:styleId="5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8">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9">
    <w:name w:val="Char Char1 Char Char Char Char Char Char Char Char Char Char"/>
    <w:basedOn w:val="1"/>
    <w:qFormat/>
    <w:uiPriority w:val="0"/>
    <w:pPr>
      <w:widowControl/>
      <w:spacing w:line="240" w:lineRule="exact"/>
      <w:jc w:val="left"/>
    </w:pPr>
  </w:style>
  <w:style w:type="paragraph" w:customStyle="1" w:styleId="60">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62">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3">
    <w:name w:val="样式1"/>
    <w:basedOn w:val="1"/>
    <w:qFormat/>
    <w:uiPriority w:val="0"/>
    <w:pPr>
      <w:jc w:val="left"/>
    </w:pPr>
    <w:rPr>
      <w:rFonts w:eastAsia="宋体"/>
      <w:sz w:val="21"/>
    </w:rPr>
  </w:style>
  <w:style w:type="paragraph" w:customStyle="1" w:styleId="64">
    <w:name w:val="样式 首行缩进:  0 字符"/>
    <w:basedOn w:val="1"/>
    <w:qFormat/>
    <w:uiPriority w:val="0"/>
    <w:pPr>
      <w:spacing w:line="360" w:lineRule="auto"/>
      <w:ind w:firstLine="200" w:firstLineChars="200"/>
    </w:pPr>
    <w:rPr>
      <w:rFonts w:ascii="Arial" w:hAnsi="Arial" w:eastAsia="宋体"/>
      <w:kern w:val="2"/>
      <w:sz w:val="24"/>
      <w:lang w:eastAsia="zh-CN"/>
    </w:rPr>
  </w:style>
  <w:style w:type="character" w:customStyle="1" w:styleId="65">
    <w:name w:val="正文文本缩进 2 字符"/>
    <w:basedOn w:val="30"/>
    <w:link w:val="16"/>
    <w:qFormat/>
    <w:uiPriority w:val="0"/>
    <w:rPr>
      <w:rFonts w:eastAsia="Times New Roman" w:cs="宋体"/>
      <w:lang w:eastAsia="en-US"/>
    </w:rPr>
  </w:style>
  <w:style w:type="character" w:customStyle="1" w:styleId="66">
    <w:name w:val="批注文字 字符"/>
    <w:basedOn w:val="30"/>
    <w:link w:val="10"/>
    <w:qFormat/>
    <w:uiPriority w:val="0"/>
    <w:rPr>
      <w:rFonts w:eastAsia="Times New Roman" w:cs="宋体"/>
      <w:lang w:eastAsia="en-US"/>
    </w:rPr>
  </w:style>
  <w:style w:type="character" w:customStyle="1" w:styleId="67">
    <w:name w:val="批注主题 字符"/>
    <w:basedOn w:val="66"/>
    <w:link w:val="25"/>
    <w:qFormat/>
    <w:uiPriority w:val="0"/>
    <w:rPr>
      <w:rFonts w:eastAsia="Times New Roman" w:cs="宋体"/>
      <w:lang w:eastAsia="en-US"/>
    </w:rPr>
  </w:style>
  <w:style w:type="character" w:customStyle="1" w:styleId="68">
    <w:name w:val="批注框文本 字符"/>
    <w:basedOn w:val="30"/>
    <w:link w:val="17"/>
    <w:qFormat/>
    <w:uiPriority w:val="0"/>
    <w:rPr>
      <w:rFonts w:eastAsia="Times New Roman" w:cs="宋体"/>
      <w:sz w:val="18"/>
      <w:szCs w:val="18"/>
      <w:lang w:eastAsia="en-US"/>
    </w:rPr>
  </w:style>
  <w:style w:type="paragraph" w:customStyle="1" w:styleId="69">
    <w:name w:val="样式 标题 2 + Times New Roman 四号 非加粗 段前: 5 磅 段后: 0 磅 行距: 固定值 20..."/>
    <w:basedOn w:val="5"/>
    <w:qFormat/>
    <w:uiPriority w:val="0"/>
    <w:pPr>
      <w:spacing w:before="100" w:line="400" w:lineRule="exact"/>
    </w:pPr>
    <w:rPr>
      <w:rFonts w:ascii="Times New Roman" w:hAnsi="Times New Roman"/>
      <w:b w:val="0"/>
    </w:rPr>
  </w:style>
  <w:style w:type="paragraph" w:customStyle="1" w:styleId="70">
    <w:name w:val="Body Text First Indent1"/>
    <w:basedOn w:val="2"/>
    <w:qFormat/>
    <w:uiPriority w:val="0"/>
    <w:pPr>
      <w:spacing w:before="100" w:beforeAutospacing="1"/>
      <w:ind w:firstLine="420"/>
    </w:pPr>
    <w:rPr>
      <w:rFonts w:ascii="Calibri" w:hAnsi="Calibri"/>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32</Pages>
  <Words>2622</Words>
  <Characters>14946</Characters>
  <Lines>124</Lines>
  <Paragraphs>35</Paragraphs>
  <TotalTime>1</TotalTime>
  <ScaleCrop>false</ScaleCrop>
  <LinksUpToDate>false</LinksUpToDate>
  <CharactersWithSpaces>17533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2020-09-11T02:26:00Z</dcterms:created>
  <dc:creator>Administrator</dc:creator>
  <cp:lastModifiedBy>Acechan丶</cp:lastModifiedBy>
  <cp:lastPrinted>2020-07-14T03:30:00Z</cp:lastPrinted>
  <dcterms:modified xsi:type="dcterms:W3CDTF">2020-10-12T05:38:37Z</dcterms:modified>
  <dc:title>目        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