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line="400" w:lineRule="exact"/>
        <w:rPr>
          <w:rFonts w:ascii="宋体" w:hAnsi="宋体" w:cs="宋体"/>
          <w:sz w:val="28"/>
          <w:szCs w:val="28"/>
        </w:rPr>
      </w:pPr>
      <w:bookmarkStart w:id="0" w:name="_Toc144974478"/>
      <w:bookmarkStart w:id="1" w:name="_Toc152042286"/>
    </w:p>
    <w:p>
      <w:pPr>
        <w:pStyle w:val="21"/>
        <w:spacing w:line="400" w:lineRule="exact"/>
        <w:rPr>
          <w:rFonts w:ascii="宋体" w:hAnsi="宋体" w:cs="宋体"/>
          <w:sz w:val="28"/>
          <w:szCs w:val="28"/>
        </w:rPr>
      </w:pPr>
    </w:p>
    <w:p>
      <w:pPr>
        <w:pStyle w:val="21"/>
        <w:spacing w:line="400" w:lineRule="exact"/>
        <w:rPr>
          <w:rFonts w:ascii="宋体" w:hAnsi="宋体" w:cs="宋体"/>
          <w:sz w:val="28"/>
          <w:szCs w:val="28"/>
        </w:rPr>
      </w:pPr>
    </w:p>
    <w:p>
      <w:pPr>
        <w:spacing w:line="720" w:lineRule="auto"/>
        <w:jc w:val="center"/>
        <w:rPr>
          <w:rFonts w:hint="eastAsia" w:ascii="宋体" w:hAnsi="宋体" w:cs="宋体"/>
          <w:b/>
          <w:sz w:val="44"/>
          <w:szCs w:val="44"/>
          <w:lang w:eastAsia="zh-CN"/>
        </w:rPr>
      </w:pPr>
      <w:r>
        <w:rPr>
          <w:rFonts w:hint="eastAsia" w:ascii="宋体" w:hAnsi="宋体" w:cs="宋体"/>
          <w:b/>
          <w:sz w:val="44"/>
          <w:szCs w:val="44"/>
          <w:lang w:eastAsia="zh-CN"/>
        </w:rPr>
        <w:t>郑州市教育局</w:t>
      </w:r>
    </w:p>
    <w:p>
      <w:pPr>
        <w:spacing w:line="720" w:lineRule="auto"/>
        <w:jc w:val="center"/>
        <w:rPr>
          <w:rFonts w:hint="eastAsia" w:ascii="宋体" w:hAnsi="宋体" w:eastAsia="宋体" w:cs="宋体"/>
          <w:b/>
          <w:sz w:val="44"/>
          <w:szCs w:val="44"/>
          <w:lang w:eastAsia="zh-CN"/>
        </w:rPr>
      </w:pPr>
      <w:r>
        <w:rPr>
          <w:rFonts w:hint="eastAsia" w:ascii="宋体" w:hAnsi="宋体" w:cs="宋体"/>
          <w:b/>
          <w:sz w:val="44"/>
          <w:szCs w:val="44"/>
          <w:lang w:eastAsia="zh-CN"/>
        </w:rPr>
        <w:t>郑州美育微信公众号全年运营服务项目</w:t>
      </w:r>
    </w:p>
    <w:p>
      <w:pPr>
        <w:jc w:val="center"/>
        <w:rPr>
          <w:rFonts w:ascii="宋体" w:hAnsi="宋体" w:cs="宋体"/>
          <w:b/>
          <w:sz w:val="32"/>
          <w:szCs w:val="32"/>
        </w:rPr>
      </w:pPr>
    </w:p>
    <w:p>
      <w:pPr>
        <w:jc w:val="center"/>
        <w:rPr>
          <w:rFonts w:ascii="宋体" w:hAnsi="宋体" w:cs="宋体"/>
          <w:b/>
          <w:sz w:val="84"/>
          <w:szCs w:val="84"/>
        </w:rPr>
      </w:pPr>
      <w:r>
        <w:rPr>
          <w:rFonts w:hint="eastAsia" w:ascii="宋体" w:hAnsi="宋体" w:cs="宋体"/>
          <w:b/>
          <w:sz w:val="84"/>
          <w:szCs w:val="84"/>
        </w:rPr>
        <w:t>竞争性磋商文件</w:t>
      </w:r>
    </w:p>
    <w:p>
      <w:pPr>
        <w:jc w:val="center"/>
        <w:rPr>
          <w:rFonts w:ascii="宋体" w:hAnsi="宋体" w:cs="宋体"/>
          <w:b/>
          <w:sz w:val="24"/>
        </w:rPr>
      </w:pPr>
    </w:p>
    <w:p>
      <w:pPr>
        <w:spacing w:line="360" w:lineRule="auto"/>
        <w:jc w:val="center"/>
        <w:rPr>
          <w:rFonts w:hint="eastAsia" w:ascii="宋体" w:hAnsi="宋体" w:eastAsia="宋体" w:cs="宋体"/>
          <w:sz w:val="32"/>
          <w:lang w:eastAsia="zh-CN"/>
        </w:rPr>
      </w:pPr>
      <w:r>
        <w:rPr>
          <w:rFonts w:hint="eastAsia" w:ascii="宋体" w:hAnsi="宋体" w:cs="宋体"/>
          <w:sz w:val="32"/>
        </w:rPr>
        <w:t>采购编号：</w:t>
      </w:r>
      <w:r>
        <w:rPr>
          <w:rFonts w:hint="eastAsia" w:ascii="宋体" w:hAnsi="宋体" w:cs="宋体"/>
          <w:sz w:val="32"/>
          <w:lang w:eastAsia="zh-CN"/>
        </w:rPr>
        <w:t>WX2020-</w:t>
      </w:r>
      <w:r>
        <w:rPr>
          <w:rFonts w:hint="eastAsia" w:ascii="宋体" w:hAnsi="宋体" w:cs="宋体"/>
          <w:sz w:val="32"/>
          <w:lang w:val="en-US" w:eastAsia="zh-CN"/>
        </w:rPr>
        <w:t>0646</w:t>
      </w:r>
    </w:p>
    <w:p>
      <w:pPr>
        <w:jc w:val="center"/>
        <w:rPr>
          <w:rFonts w:ascii="宋体" w:hAnsi="宋体" w:cs="宋体"/>
        </w:rPr>
      </w:pPr>
    </w:p>
    <w:p>
      <w:pPr>
        <w:ind w:firstLine="2289" w:firstLineChars="1090"/>
        <w:rPr>
          <w:rFonts w:ascii="宋体" w:hAnsi="宋体" w:cs="宋体"/>
        </w:rPr>
      </w:pPr>
    </w:p>
    <w:p>
      <w:pPr>
        <w:jc w:val="center"/>
        <w:rPr>
          <w:rFonts w:ascii="宋体" w:hAnsi="宋体" w:cs="宋体"/>
          <w:sz w:val="44"/>
          <w:szCs w:val="44"/>
        </w:rPr>
      </w:pPr>
      <w:r>
        <w:rPr>
          <w:rFonts w:ascii="宋体" w:hAnsi="宋体"/>
          <w:sz w:val="44"/>
          <w:szCs w:val="44"/>
        </w:rPr>
        <w:drawing>
          <wp:inline distT="0" distB="0" distL="0" distR="0">
            <wp:extent cx="1790700" cy="1771650"/>
            <wp:effectExtent l="0" t="0" r="0" b="0"/>
            <wp:docPr id="2" name="图片 2"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徽标"/>
                    <pic:cNvPicPr>
                      <a:picLocks noChangeAspect="1" noChangeArrowheads="1"/>
                    </pic:cNvPicPr>
                  </pic:nvPicPr>
                  <pic:blipFill>
                    <a:blip r:embed="rId6" cstate="print">
                      <a:lum contrast="12000"/>
                      <a:extLst>
                        <a:ext uri="{28A0092B-C50C-407E-A947-70E740481C1C}">
                          <a14:useLocalDpi xmlns:a14="http://schemas.microsoft.com/office/drawing/2010/main" val="0"/>
                        </a:ext>
                      </a:extLst>
                    </a:blip>
                    <a:srcRect/>
                    <a:stretch>
                      <a:fillRect/>
                    </a:stretch>
                  </pic:blipFill>
                  <pic:spPr>
                    <a:xfrm>
                      <a:off x="0" y="0"/>
                      <a:ext cx="1790700" cy="1771650"/>
                    </a:xfrm>
                    <a:prstGeom prst="rect">
                      <a:avLst/>
                    </a:prstGeom>
                    <a:noFill/>
                    <a:ln>
                      <a:noFill/>
                    </a:ln>
                  </pic:spPr>
                </pic:pic>
              </a:graphicData>
            </a:graphic>
          </wp:inline>
        </w:drawing>
      </w:r>
    </w:p>
    <w:p>
      <w:pPr>
        <w:widowControl/>
        <w:spacing w:line="360" w:lineRule="auto"/>
        <w:ind w:firstLine="880"/>
        <w:jc w:val="center"/>
        <w:rPr>
          <w:rFonts w:ascii="宋体" w:hAnsi="宋体" w:cs="宋体"/>
          <w:sz w:val="44"/>
          <w:szCs w:val="44"/>
        </w:rPr>
      </w:pPr>
    </w:p>
    <w:p>
      <w:pPr>
        <w:spacing w:line="360" w:lineRule="auto"/>
        <w:ind w:firstLine="1472" w:firstLineChars="460"/>
        <w:rPr>
          <w:rFonts w:ascii="宋体" w:hAnsi="宋体" w:cs="宋体"/>
          <w:sz w:val="32"/>
          <w:szCs w:val="20"/>
        </w:rPr>
      </w:pPr>
    </w:p>
    <w:p>
      <w:pPr>
        <w:spacing w:line="360" w:lineRule="auto"/>
        <w:ind w:firstLine="1472" w:firstLineChars="460"/>
        <w:rPr>
          <w:rFonts w:ascii="宋体" w:hAnsi="宋体" w:cs="宋体"/>
          <w:sz w:val="32"/>
          <w:szCs w:val="20"/>
        </w:rPr>
      </w:pPr>
    </w:p>
    <w:p>
      <w:pPr>
        <w:spacing w:line="360" w:lineRule="auto"/>
        <w:ind w:left="1467" w:leftChars="699"/>
        <w:rPr>
          <w:rFonts w:ascii="宋体" w:hAnsi="宋体" w:cs="宋体"/>
          <w:b/>
          <w:bCs/>
          <w:sz w:val="32"/>
          <w:u w:val="single"/>
        </w:rPr>
      </w:pPr>
      <w:r>
        <w:rPr>
          <w:rFonts w:hint="eastAsia" w:ascii="宋体" w:hAnsi="宋体" w:cs="宋体"/>
          <w:b/>
          <w:bCs/>
          <w:sz w:val="32"/>
        </w:rPr>
        <w:t>项目编号：</w:t>
      </w:r>
      <w:r>
        <w:rPr>
          <w:rFonts w:hint="eastAsia" w:ascii="宋体" w:hAnsi="宋体" w:cs="宋体"/>
          <w:b/>
          <w:bCs/>
          <w:sz w:val="32"/>
          <w:u w:val="single"/>
        </w:rPr>
        <w:t xml:space="preserve">    </w:t>
      </w:r>
      <w:r>
        <w:rPr>
          <w:rFonts w:hint="eastAsia" w:ascii="宋体" w:hAnsi="宋体" w:cs="宋体"/>
          <w:b/>
          <w:bCs/>
          <w:sz w:val="32"/>
          <w:u w:val="single"/>
          <w:lang w:eastAsia="zh-CN"/>
        </w:rPr>
        <w:t>WX2020-</w:t>
      </w:r>
      <w:bookmarkStart w:id="751" w:name="_GoBack"/>
      <w:bookmarkEnd w:id="751"/>
      <w:r>
        <w:rPr>
          <w:rFonts w:hint="eastAsia" w:ascii="宋体" w:hAnsi="宋体" w:cs="宋体"/>
          <w:b/>
          <w:bCs/>
          <w:sz w:val="32"/>
          <w:u w:val="single"/>
          <w:lang w:val="en-US" w:eastAsia="zh-CN"/>
        </w:rPr>
        <w:t>0646</w:t>
      </w:r>
      <w:r>
        <w:rPr>
          <w:rFonts w:hint="eastAsia" w:ascii="宋体" w:hAnsi="宋体" w:cs="宋体"/>
          <w:b/>
          <w:bCs/>
          <w:sz w:val="32"/>
          <w:u w:val="single"/>
        </w:rPr>
        <w:t xml:space="preserve">          </w:t>
      </w:r>
    </w:p>
    <w:p>
      <w:pPr>
        <w:spacing w:line="360" w:lineRule="auto"/>
        <w:ind w:left="1467" w:leftChars="699"/>
        <w:rPr>
          <w:rFonts w:ascii="宋体" w:hAnsi="宋体" w:cs="宋体"/>
          <w:b/>
          <w:bCs/>
          <w:sz w:val="32"/>
          <w:u w:val="single"/>
        </w:rPr>
      </w:pPr>
      <w:r>
        <w:rPr>
          <w:rFonts w:hint="eastAsia" w:ascii="宋体" w:hAnsi="宋体" w:cs="宋体"/>
          <w:b/>
          <w:bCs/>
          <w:sz w:val="32"/>
        </w:rPr>
        <w:t>采 购 人：</w:t>
      </w:r>
      <w:r>
        <w:rPr>
          <w:rFonts w:hint="eastAsia" w:ascii="宋体" w:hAnsi="宋体" w:cs="宋体"/>
          <w:b/>
          <w:bCs/>
          <w:sz w:val="32"/>
          <w:u w:val="single"/>
        </w:rPr>
        <w:t xml:space="preserve">    </w:t>
      </w:r>
      <w:r>
        <w:rPr>
          <w:rFonts w:hint="eastAsia" w:ascii="宋体" w:hAnsi="宋体" w:cs="宋体"/>
          <w:b/>
          <w:bCs/>
          <w:sz w:val="32"/>
          <w:u w:val="single"/>
          <w:lang w:eastAsia="zh-CN"/>
        </w:rPr>
        <w:t>郑州市教育局</w:t>
      </w:r>
      <w:r>
        <w:rPr>
          <w:rFonts w:hint="eastAsia" w:ascii="宋体" w:hAnsi="宋体" w:cs="宋体"/>
          <w:b/>
          <w:bCs/>
          <w:sz w:val="32"/>
          <w:u w:val="single"/>
        </w:rPr>
        <w:t xml:space="preserve">         </w:t>
      </w:r>
    </w:p>
    <w:p>
      <w:pPr>
        <w:spacing w:line="360" w:lineRule="auto"/>
        <w:ind w:firstLine="1472" w:firstLineChars="460"/>
        <w:rPr>
          <w:rFonts w:ascii="宋体" w:hAnsi="宋体" w:cs="宋体"/>
          <w:b/>
          <w:bCs/>
          <w:sz w:val="32"/>
        </w:rPr>
      </w:pPr>
      <w:r>
        <w:rPr>
          <w:rFonts w:hint="eastAsia" w:ascii="宋体" w:hAnsi="宋体" w:cs="宋体"/>
          <w:b/>
          <w:bCs/>
          <w:sz w:val="32"/>
        </w:rPr>
        <w:t>代理机构：</w:t>
      </w:r>
      <w:r>
        <w:rPr>
          <w:rFonts w:hint="eastAsia" w:ascii="宋体" w:hAnsi="宋体" w:cs="宋体"/>
          <w:b/>
          <w:bCs/>
          <w:sz w:val="32"/>
          <w:u w:val="single"/>
        </w:rPr>
        <w:t xml:space="preserve">  河南省伟信招标管理咨询有限公司 </w:t>
      </w:r>
    </w:p>
    <w:p>
      <w:pPr>
        <w:spacing w:line="360" w:lineRule="auto"/>
        <w:ind w:firstLine="1472" w:firstLineChars="460"/>
        <w:rPr>
          <w:rFonts w:ascii="宋体" w:hAnsi="宋体" w:cs="宋体"/>
          <w:b/>
          <w:sz w:val="32"/>
        </w:rPr>
        <w:sectPr>
          <w:pgSz w:w="11906" w:h="16838"/>
          <w:pgMar w:top="1440" w:right="1797" w:bottom="1440" w:left="1797" w:header="851" w:footer="992" w:gutter="0"/>
          <w:cols w:space="720" w:num="1"/>
          <w:docGrid w:type="linesAndChars" w:linePitch="312" w:charSpace="0"/>
        </w:sectPr>
      </w:pPr>
      <w:r>
        <w:rPr>
          <w:rFonts w:hint="eastAsia" w:ascii="宋体" w:hAnsi="宋体" w:cs="宋体"/>
          <w:b/>
          <w:bCs/>
          <w:sz w:val="32"/>
        </w:rPr>
        <w:t>日    期：</w:t>
      </w:r>
      <w:r>
        <w:rPr>
          <w:rFonts w:hint="eastAsia" w:ascii="宋体" w:hAnsi="宋体" w:cs="宋体"/>
          <w:b/>
          <w:bCs/>
          <w:sz w:val="32"/>
          <w:u w:val="single"/>
        </w:rPr>
        <w:t xml:space="preserve">   二〇二〇   </w:t>
      </w:r>
      <w:r>
        <w:rPr>
          <w:rFonts w:hint="eastAsia" w:ascii="宋体" w:hAnsi="宋体" w:cs="宋体"/>
          <w:b/>
          <w:bCs/>
          <w:sz w:val="32"/>
        </w:rPr>
        <w:t>年</w:t>
      </w:r>
      <w:r>
        <w:rPr>
          <w:rFonts w:hint="eastAsia" w:ascii="宋体" w:hAnsi="宋体" w:cs="宋体"/>
          <w:b/>
          <w:bCs/>
          <w:sz w:val="32"/>
          <w:u w:val="single"/>
        </w:rPr>
        <w:t xml:space="preserve"> </w:t>
      </w:r>
      <w:r>
        <w:rPr>
          <w:rFonts w:hint="eastAsia" w:ascii="宋体" w:hAnsi="宋体" w:cs="宋体"/>
          <w:b/>
          <w:bCs/>
          <w:sz w:val="32"/>
          <w:u w:val="single"/>
          <w:lang w:eastAsia="zh-CN"/>
        </w:rPr>
        <w:t>六</w:t>
      </w:r>
      <w:r>
        <w:rPr>
          <w:rFonts w:hint="eastAsia" w:ascii="宋体" w:hAnsi="宋体" w:cs="宋体"/>
          <w:b/>
          <w:bCs/>
          <w:sz w:val="32"/>
          <w:u w:val="single"/>
        </w:rPr>
        <w:t xml:space="preserve"> </w:t>
      </w:r>
      <w:r>
        <w:rPr>
          <w:rFonts w:hint="eastAsia" w:ascii="宋体" w:hAnsi="宋体" w:cs="宋体"/>
          <w:b/>
          <w:bCs/>
          <w:sz w:val="32"/>
        </w:rPr>
        <w:t>月</w:t>
      </w:r>
    </w:p>
    <w:p>
      <w:pPr>
        <w:pStyle w:val="15"/>
        <w:jc w:val="center"/>
        <w:rPr>
          <w:rFonts w:ascii="宋体" w:hAnsi="宋体" w:cs="宋体"/>
          <w:b/>
          <w:sz w:val="32"/>
        </w:rPr>
      </w:pPr>
      <w:r>
        <w:rPr>
          <w:rFonts w:hint="eastAsia" w:ascii="宋体" w:hAnsi="宋体" w:cs="宋体"/>
          <w:b/>
          <w:sz w:val="32"/>
        </w:rPr>
        <w:t>目  录</w:t>
      </w:r>
      <w:bookmarkEnd w:id="0"/>
      <w:bookmarkEnd w:id="1"/>
    </w:p>
    <w:p>
      <w:pPr>
        <w:pStyle w:val="28"/>
        <w:tabs>
          <w:tab w:val="right" w:leader="dot" w:pos="8390"/>
        </w:tabs>
        <w:rPr>
          <w:rFonts w:asciiTheme="minorHAnsi" w:hAnsiTheme="minorHAnsi" w:eastAsiaTheme="minorEastAsia" w:cstheme="minorBidi"/>
          <w:kern w:val="2"/>
          <w:sz w:val="21"/>
        </w:rPr>
      </w:pPr>
      <w:r>
        <w:rPr>
          <w:rFonts w:hint="eastAsia" w:ascii="宋体" w:hAnsi="宋体" w:cs="宋体"/>
          <w:sz w:val="24"/>
          <w:szCs w:val="24"/>
        </w:rPr>
        <w:fldChar w:fldCharType="begin"/>
      </w:r>
      <w:r>
        <w:rPr>
          <w:rFonts w:hint="eastAsia" w:ascii="宋体" w:hAnsi="宋体" w:cs="宋体"/>
          <w:sz w:val="24"/>
          <w:szCs w:val="24"/>
        </w:rPr>
        <w:instrText xml:space="preserve"> TOC \o "1-3" \h \z \u </w:instrText>
      </w:r>
      <w:r>
        <w:rPr>
          <w:rFonts w:hint="eastAsia" w:ascii="宋体" w:hAnsi="宋体" w:cs="宋体"/>
          <w:sz w:val="24"/>
          <w:szCs w:val="24"/>
        </w:rPr>
        <w:fldChar w:fldCharType="separate"/>
      </w:r>
      <w:r>
        <w:fldChar w:fldCharType="begin"/>
      </w:r>
      <w:r>
        <w:instrText xml:space="preserve"> HYPERLINK \l "_Toc22114892" </w:instrText>
      </w:r>
      <w:r>
        <w:fldChar w:fldCharType="separate"/>
      </w:r>
      <w:r>
        <w:rPr>
          <w:rStyle w:val="45"/>
          <w:rFonts w:hint="eastAsia" w:ascii="宋体" w:hAnsi="宋体" w:cs="宋体"/>
        </w:rPr>
        <w:t>第一章</w:t>
      </w:r>
      <w:r>
        <w:rPr>
          <w:rStyle w:val="45"/>
          <w:rFonts w:ascii="宋体" w:hAnsi="宋体" w:cs="宋体"/>
        </w:rPr>
        <w:t xml:space="preserve"> </w:t>
      </w:r>
      <w:r>
        <w:rPr>
          <w:rStyle w:val="45"/>
          <w:rFonts w:hint="eastAsia" w:ascii="宋体" w:hAnsi="宋体" w:cs="宋体"/>
        </w:rPr>
        <w:t>竞争性磋商公告</w:t>
      </w:r>
      <w:r>
        <w:tab/>
      </w:r>
      <w:r>
        <w:fldChar w:fldCharType="begin"/>
      </w:r>
      <w:r>
        <w:instrText xml:space="preserve"> PAGEREF _Toc22114892 \h </w:instrText>
      </w:r>
      <w:r>
        <w:fldChar w:fldCharType="separate"/>
      </w:r>
      <w:r>
        <w:t>3</w:t>
      </w:r>
      <w:r>
        <w:fldChar w:fldCharType="end"/>
      </w:r>
      <w:r>
        <w:fldChar w:fldCharType="end"/>
      </w:r>
    </w:p>
    <w:p>
      <w:pPr>
        <w:pStyle w:val="28"/>
        <w:tabs>
          <w:tab w:val="right" w:leader="dot" w:pos="8390"/>
        </w:tabs>
        <w:rPr>
          <w:rFonts w:asciiTheme="minorHAnsi" w:hAnsiTheme="minorHAnsi" w:eastAsiaTheme="minorEastAsia" w:cstheme="minorBidi"/>
          <w:kern w:val="2"/>
          <w:sz w:val="21"/>
        </w:rPr>
      </w:pPr>
      <w:r>
        <w:fldChar w:fldCharType="begin"/>
      </w:r>
      <w:r>
        <w:instrText xml:space="preserve"> HYPERLINK \l "_Toc22114893" </w:instrText>
      </w:r>
      <w:r>
        <w:fldChar w:fldCharType="separate"/>
      </w:r>
      <w:r>
        <w:rPr>
          <w:rStyle w:val="45"/>
          <w:rFonts w:hint="eastAsia" w:ascii="宋体" w:hAnsi="宋体" w:cs="宋体"/>
        </w:rPr>
        <w:t>第二章</w:t>
      </w:r>
      <w:r>
        <w:rPr>
          <w:rStyle w:val="45"/>
          <w:rFonts w:ascii="宋体" w:hAnsi="宋体" w:cs="宋体"/>
        </w:rPr>
        <w:t xml:space="preserve"> </w:t>
      </w:r>
      <w:r>
        <w:rPr>
          <w:rStyle w:val="45"/>
          <w:rFonts w:hint="eastAsia" w:ascii="宋体" w:hAnsi="宋体" w:cs="宋体"/>
        </w:rPr>
        <w:t>供应商须知</w:t>
      </w:r>
      <w:r>
        <w:tab/>
      </w:r>
      <w:r>
        <w:fldChar w:fldCharType="begin"/>
      </w:r>
      <w:r>
        <w:instrText xml:space="preserve"> PAGEREF _Toc22114893 \h </w:instrText>
      </w:r>
      <w:r>
        <w:fldChar w:fldCharType="separate"/>
      </w:r>
      <w:r>
        <w:t>6</w:t>
      </w:r>
      <w:r>
        <w:fldChar w:fldCharType="end"/>
      </w:r>
      <w:r>
        <w:fldChar w:fldCharType="end"/>
      </w:r>
    </w:p>
    <w:p>
      <w:pPr>
        <w:pStyle w:val="28"/>
        <w:tabs>
          <w:tab w:val="right" w:leader="dot" w:pos="8390"/>
        </w:tabs>
        <w:rPr>
          <w:rFonts w:asciiTheme="minorHAnsi" w:hAnsiTheme="minorHAnsi" w:eastAsiaTheme="minorEastAsia" w:cstheme="minorBidi"/>
          <w:kern w:val="2"/>
          <w:sz w:val="21"/>
        </w:rPr>
      </w:pPr>
      <w:r>
        <w:fldChar w:fldCharType="begin"/>
      </w:r>
      <w:r>
        <w:instrText xml:space="preserve"> HYPERLINK \l "_Toc22114894" </w:instrText>
      </w:r>
      <w:r>
        <w:fldChar w:fldCharType="separate"/>
      </w:r>
      <w:r>
        <w:rPr>
          <w:rStyle w:val="45"/>
          <w:rFonts w:hint="eastAsia" w:ascii="宋体" w:hAnsi="宋体" w:cs="宋体"/>
        </w:rPr>
        <w:t>第三章</w:t>
      </w:r>
      <w:r>
        <w:rPr>
          <w:rStyle w:val="45"/>
          <w:rFonts w:ascii="宋体" w:hAnsi="宋体" w:cs="宋体"/>
        </w:rPr>
        <w:t xml:space="preserve">  </w:t>
      </w:r>
      <w:r>
        <w:rPr>
          <w:rStyle w:val="45"/>
          <w:rFonts w:hint="eastAsia" w:ascii="宋体" w:hAnsi="宋体" w:cs="宋体"/>
        </w:rPr>
        <w:t>评标办法（综合评分法）</w:t>
      </w:r>
      <w:r>
        <w:tab/>
      </w:r>
      <w:r>
        <w:fldChar w:fldCharType="begin"/>
      </w:r>
      <w:r>
        <w:instrText xml:space="preserve"> PAGEREF _Toc22114894 \h </w:instrText>
      </w:r>
      <w:r>
        <w:fldChar w:fldCharType="separate"/>
      </w:r>
      <w:r>
        <w:t>18</w:t>
      </w:r>
      <w:r>
        <w:fldChar w:fldCharType="end"/>
      </w:r>
      <w:r>
        <w:fldChar w:fldCharType="end"/>
      </w:r>
    </w:p>
    <w:p>
      <w:pPr>
        <w:pStyle w:val="28"/>
        <w:tabs>
          <w:tab w:val="right" w:leader="dot" w:pos="8390"/>
        </w:tabs>
        <w:rPr>
          <w:rFonts w:asciiTheme="minorHAnsi" w:hAnsiTheme="minorHAnsi" w:eastAsiaTheme="minorEastAsia" w:cstheme="minorBidi"/>
          <w:kern w:val="2"/>
          <w:sz w:val="21"/>
        </w:rPr>
      </w:pPr>
      <w:r>
        <w:fldChar w:fldCharType="begin"/>
      </w:r>
      <w:r>
        <w:instrText xml:space="preserve"> HYPERLINK \l "_Toc22114895" </w:instrText>
      </w:r>
      <w:r>
        <w:fldChar w:fldCharType="separate"/>
      </w:r>
      <w:r>
        <w:rPr>
          <w:rStyle w:val="45"/>
          <w:rFonts w:hint="eastAsia" w:ascii="宋体" w:hAnsi="宋体" w:cs="宋体"/>
        </w:rPr>
        <w:t>第四章</w:t>
      </w:r>
      <w:r>
        <w:rPr>
          <w:rStyle w:val="45"/>
          <w:rFonts w:ascii="宋体" w:hAnsi="宋体" w:cs="宋体"/>
        </w:rPr>
        <w:t xml:space="preserve">  </w:t>
      </w:r>
      <w:r>
        <w:rPr>
          <w:rStyle w:val="45"/>
          <w:rFonts w:hint="eastAsia" w:ascii="宋体" w:hAnsi="宋体" w:cs="宋体"/>
        </w:rPr>
        <w:t>合同文本</w:t>
      </w:r>
      <w:r>
        <w:tab/>
      </w:r>
      <w:r>
        <w:fldChar w:fldCharType="begin"/>
      </w:r>
      <w:r>
        <w:instrText xml:space="preserve"> PAGEREF _Toc22114895 \h </w:instrText>
      </w:r>
      <w:r>
        <w:fldChar w:fldCharType="separate"/>
      </w:r>
      <w:r>
        <w:t>24</w:t>
      </w:r>
      <w:r>
        <w:fldChar w:fldCharType="end"/>
      </w:r>
      <w:r>
        <w:fldChar w:fldCharType="end"/>
      </w:r>
    </w:p>
    <w:p>
      <w:pPr>
        <w:pStyle w:val="28"/>
        <w:tabs>
          <w:tab w:val="right" w:leader="dot" w:pos="8390"/>
        </w:tabs>
        <w:rPr>
          <w:rFonts w:asciiTheme="minorHAnsi" w:hAnsiTheme="minorHAnsi" w:eastAsiaTheme="minorEastAsia" w:cstheme="minorBidi"/>
          <w:kern w:val="2"/>
          <w:sz w:val="21"/>
        </w:rPr>
      </w:pPr>
      <w:r>
        <w:fldChar w:fldCharType="begin"/>
      </w:r>
      <w:r>
        <w:instrText xml:space="preserve"> HYPERLINK \l "_Toc22114896" </w:instrText>
      </w:r>
      <w:r>
        <w:fldChar w:fldCharType="separate"/>
      </w:r>
      <w:r>
        <w:rPr>
          <w:rStyle w:val="45"/>
          <w:rFonts w:hint="eastAsia" w:ascii="宋体" w:hAnsi="宋体" w:cs="宋体"/>
        </w:rPr>
        <w:t>第五章</w:t>
      </w:r>
      <w:r>
        <w:rPr>
          <w:rStyle w:val="45"/>
          <w:rFonts w:ascii="宋体" w:hAnsi="宋体" w:cs="宋体"/>
        </w:rPr>
        <w:t xml:space="preserve">  </w:t>
      </w:r>
      <w:r>
        <w:rPr>
          <w:rStyle w:val="45"/>
          <w:rFonts w:hint="eastAsia" w:ascii="宋体" w:hAnsi="宋体" w:cs="宋体"/>
        </w:rPr>
        <w:t>服务需求及要求</w:t>
      </w:r>
      <w:r>
        <w:tab/>
      </w:r>
      <w:r>
        <w:fldChar w:fldCharType="begin"/>
      </w:r>
      <w:r>
        <w:instrText xml:space="preserve"> PAGEREF _Toc22114896 \h </w:instrText>
      </w:r>
      <w:r>
        <w:fldChar w:fldCharType="separate"/>
      </w:r>
      <w:r>
        <w:t>27</w:t>
      </w:r>
      <w:r>
        <w:fldChar w:fldCharType="end"/>
      </w:r>
      <w:r>
        <w:fldChar w:fldCharType="end"/>
      </w:r>
    </w:p>
    <w:p>
      <w:pPr>
        <w:pStyle w:val="28"/>
        <w:tabs>
          <w:tab w:val="right" w:leader="dot" w:pos="8390"/>
        </w:tabs>
        <w:rPr>
          <w:rFonts w:asciiTheme="minorHAnsi" w:hAnsiTheme="minorHAnsi" w:eastAsiaTheme="minorEastAsia" w:cstheme="minorBidi"/>
          <w:kern w:val="2"/>
          <w:sz w:val="21"/>
        </w:rPr>
      </w:pPr>
      <w:r>
        <w:fldChar w:fldCharType="begin"/>
      </w:r>
      <w:r>
        <w:instrText xml:space="preserve"> HYPERLINK \l "_Toc22114897" </w:instrText>
      </w:r>
      <w:r>
        <w:fldChar w:fldCharType="separate"/>
      </w:r>
      <w:r>
        <w:rPr>
          <w:rStyle w:val="45"/>
          <w:rFonts w:hint="eastAsia" w:ascii="宋体" w:hAnsi="宋体" w:cs="宋体"/>
        </w:rPr>
        <w:t>第六章</w:t>
      </w:r>
      <w:r>
        <w:rPr>
          <w:rStyle w:val="45"/>
          <w:rFonts w:ascii="宋体" w:hAnsi="宋体" w:cs="宋体"/>
        </w:rPr>
        <w:t xml:space="preserve">  </w:t>
      </w:r>
      <w:r>
        <w:rPr>
          <w:rStyle w:val="45"/>
          <w:rFonts w:hint="eastAsia" w:ascii="宋体" w:hAnsi="宋体" w:cs="宋体"/>
        </w:rPr>
        <w:t>竞争性磋商响应文件格式</w:t>
      </w:r>
      <w:r>
        <w:tab/>
      </w:r>
      <w:r>
        <w:fldChar w:fldCharType="begin"/>
      </w:r>
      <w:r>
        <w:instrText xml:space="preserve"> PAGEREF _Toc22114897 \h </w:instrText>
      </w:r>
      <w:r>
        <w:fldChar w:fldCharType="separate"/>
      </w:r>
      <w:r>
        <w:t>29</w:t>
      </w:r>
      <w:r>
        <w:fldChar w:fldCharType="end"/>
      </w:r>
      <w:r>
        <w:fldChar w:fldCharType="end"/>
      </w:r>
    </w:p>
    <w:p>
      <w:pPr>
        <w:pStyle w:val="33"/>
        <w:tabs>
          <w:tab w:val="right" w:leader="dot" w:pos="8390"/>
        </w:tabs>
        <w:rPr>
          <w:rFonts w:asciiTheme="minorHAnsi" w:hAnsiTheme="minorHAnsi" w:eastAsiaTheme="minorEastAsia" w:cstheme="minorBidi"/>
          <w:kern w:val="2"/>
          <w:sz w:val="21"/>
        </w:rPr>
      </w:pPr>
      <w:r>
        <w:fldChar w:fldCharType="begin"/>
      </w:r>
      <w:r>
        <w:instrText xml:space="preserve"> HYPERLINK \l "_Toc22114898" </w:instrText>
      </w:r>
      <w:r>
        <w:fldChar w:fldCharType="separate"/>
      </w:r>
      <w:r>
        <w:rPr>
          <w:rStyle w:val="45"/>
          <w:rFonts w:hint="eastAsia" w:ascii="宋体" w:hAnsi="宋体"/>
        </w:rPr>
        <w:t>一、磋商函及磋商函附录</w:t>
      </w:r>
      <w:r>
        <w:tab/>
      </w:r>
      <w:r>
        <w:fldChar w:fldCharType="begin"/>
      </w:r>
      <w:r>
        <w:instrText xml:space="preserve"> PAGEREF _Toc22114898 \h </w:instrText>
      </w:r>
      <w:r>
        <w:fldChar w:fldCharType="separate"/>
      </w:r>
      <w:r>
        <w:t>32</w:t>
      </w:r>
      <w:r>
        <w:fldChar w:fldCharType="end"/>
      </w:r>
      <w:r>
        <w:fldChar w:fldCharType="end"/>
      </w:r>
    </w:p>
    <w:p>
      <w:pPr>
        <w:pStyle w:val="33"/>
        <w:tabs>
          <w:tab w:val="right" w:leader="dot" w:pos="8390"/>
        </w:tabs>
        <w:rPr>
          <w:rFonts w:asciiTheme="minorHAnsi" w:hAnsiTheme="minorHAnsi" w:eastAsiaTheme="minorEastAsia" w:cstheme="minorBidi"/>
          <w:kern w:val="2"/>
          <w:sz w:val="21"/>
        </w:rPr>
      </w:pPr>
      <w:r>
        <w:fldChar w:fldCharType="begin"/>
      </w:r>
      <w:r>
        <w:instrText xml:space="preserve"> HYPERLINK \l "_Toc22114899" </w:instrText>
      </w:r>
      <w:r>
        <w:fldChar w:fldCharType="separate"/>
      </w:r>
      <w:r>
        <w:rPr>
          <w:rStyle w:val="45"/>
          <w:rFonts w:hint="eastAsia" w:ascii="宋体" w:hAnsi="宋体"/>
        </w:rPr>
        <w:t>二、项目预算书</w:t>
      </w:r>
      <w:r>
        <w:tab/>
      </w:r>
      <w:r>
        <w:fldChar w:fldCharType="begin"/>
      </w:r>
      <w:r>
        <w:instrText xml:space="preserve"> PAGEREF _Toc22114899 \h </w:instrText>
      </w:r>
      <w:r>
        <w:fldChar w:fldCharType="separate"/>
      </w:r>
      <w:r>
        <w:t>35</w:t>
      </w:r>
      <w:r>
        <w:fldChar w:fldCharType="end"/>
      </w:r>
      <w:r>
        <w:fldChar w:fldCharType="end"/>
      </w:r>
    </w:p>
    <w:p>
      <w:pPr>
        <w:pStyle w:val="33"/>
        <w:tabs>
          <w:tab w:val="right" w:leader="dot" w:pos="8390"/>
        </w:tabs>
        <w:rPr>
          <w:rFonts w:asciiTheme="minorHAnsi" w:hAnsiTheme="minorHAnsi" w:eastAsiaTheme="minorEastAsia" w:cstheme="minorBidi"/>
          <w:kern w:val="2"/>
          <w:sz w:val="21"/>
        </w:rPr>
      </w:pPr>
      <w:r>
        <w:fldChar w:fldCharType="begin"/>
      </w:r>
      <w:r>
        <w:instrText xml:space="preserve"> HYPERLINK \l "_Toc22114900" </w:instrText>
      </w:r>
      <w:r>
        <w:fldChar w:fldCharType="separate"/>
      </w:r>
      <w:r>
        <w:rPr>
          <w:rStyle w:val="45"/>
          <w:rFonts w:hint="eastAsia" w:ascii="宋体" w:hAnsi="宋体"/>
        </w:rPr>
        <w:t>三、服务方案</w:t>
      </w:r>
      <w:r>
        <w:tab/>
      </w:r>
      <w:r>
        <w:fldChar w:fldCharType="begin"/>
      </w:r>
      <w:r>
        <w:instrText xml:space="preserve"> PAGEREF _Toc22114900 \h </w:instrText>
      </w:r>
      <w:r>
        <w:fldChar w:fldCharType="separate"/>
      </w:r>
      <w:r>
        <w:t>36</w:t>
      </w:r>
      <w:r>
        <w:fldChar w:fldCharType="end"/>
      </w:r>
      <w:r>
        <w:fldChar w:fldCharType="end"/>
      </w:r>
    </w:p>
    <w:p>
      <w:pPr>
        <w:pStyle w:val="33"/>
        <w:tabs>
          <w:tab w:val="right" w:leader="dot" w:pos="8390"/>
        </w:tabs>
        <w:rPr>
          <w:rFonts w:asciiTheme="minorHAnsi" w:hAnsiTheme="minorHAnsi" w:eastAsiaTheme="minorEastAsia" w:cstheme="minorBidi"/>
          <w:kern w:val="2"/>
          <w:sz w:val="21"/>
        </w:rPr>
      </w:pPr>
      <w:r>
        <w:fldChar w:fldCharType="begin"/>
      </w:r>
      <w:r>
        <w:instrText xml:space="preserve"> HYPERLINK \l "_Toc22114901" </w:instrText>
      </w:r>
      <w:r>
        <w:fldChar w:fldCharType="separate"/>
      </w:r>
      <w:r>
        <w:rPr>
          <w:rStyle w:val="45"/>
          <w:rFonts w:hint="eastAsia" w:ascii="宋体" w:hAnsi="宋体"/>
        </w:rPr>
        <w:t>四、服务承诺</w:t>
      </w:r>
      <w:r>
        <w:tab/>
      </w:r>
      <w:r>
        <w:fldChar w:fldCharType="begin"/>
      </w:r>
      <w:r>
        <w:instrText xml:space="preserve"> PAGEREF _Toc22114901 \h </w:instrText>
      </w:r>
      <w:r>
        <w:fldChar w:fldCharType="separate"/>
      </w:r>
      <w:r>
        <w:t>37</w:t>
      </w:r>
      <w:r>
        <w:fldChar w:fldCharType="end"/>
      </w:r>
      <w:r>
        <w:fldChar w:fldCharType="end"/>
      </w:r>
    </w:p>
    <w:p>
      <w:pPr>
        <w:pStyle w:val="33"/>
        <w:tabs>
          <w:tab w:val="right" w:leader="dot" w:pos="8390"/>
        </w:tabs>
        <w:rPr>
          <w:rFonts w:asciiTheme="minorHAnsi" w:hAnsiTheme="minorHAnsi" w:eastAsiaTheme="minorEastAsia" w:cstheme="minorBidi"/>
          <w:kern w:val="2"/>
          <w:sz w:val="21"/>
        </w:rPr>
      </w:pPr>
      <w:r>
        <w:fldChar w:fldCharType="begin"/>
      </w:r>
      <w:r>
        <w:instrText xml:space="preserve"> HYPERLINK \l "_Toc22114902" </w:instrText>
      </w:r>
      <w:r>
        <w:fldChar w:fldCharType="separate"/>
      </w:r>
      <w:r>
        <w:rPr>
          <w:rStyle w:val="45"/>
          <w:rFonts w:hint="eastAsia" w:ascii="宋体" w:hAnsi="宋体"/>
        </w:rPr>
        <w:t>五、磋商承诺函</w:t>
      </w:r>
      <w:r>
        <w:tab/>
      </w:r>
      <w:r>
        <w:fldChar w:fldCharType="begin"/>
      </w:r>
      <w:r>
        <w:instrText xml:space="preserve"> PAGEREF _Toc22114902 \h </w:instrText>
      </w:r>
      <w:r>
        <w:fldChar w:fldCharType="separate"/>
      </w:r>
      <w:r>
        <w:t>38</w:t>
      </w:r>
      <w:r>
        <w:fldChar w:fldCharType="end"/>
      </w:r>
      <w:r>
        <w:fldChar w:fldCharType="end"/>
      </w:r>
    </w:p>
    <w:p>
      <w:pPr>
        <w:pStyle w:val="33"/>
        <w:tabs>
          <w:tab w:val="right" w:leader="dot" w:pos="8390"/>
        </w:tabs>
        <w:rPr>
          <w:rFonts w:asciiTheme="minorHAnsi" w:hAnsiTheme="minorHAnsi" w:eastAsiaTheme="minorEastAsia" w:cstheme="minorBidi"/>
          <w:kern w:val="2"/>
          <w:sz w:val="21"/>
        </w:rPr>
      </w:pPr>
      <w:r>
        <w:fldChar w:fldCharType="begin"/>
      </w:r>
      <w:r>
        <w:instrText xml:space="preserve"> HYPERLINK \l "_Toc22114903" </w:instrText>
      </w:r>
      <w:r>
        <w:fldChar w:fldCharType="separate"/>
      </w:r>
      <w:r>
        <w:rPr>
          <w:rStyle w:val="45"/>
          <w:rFonts w:hint="eastAsia" w:ascii="宋体" w:hAnsi="宋体"/>
        </w:rPr>
        <w:t>六</w:t>
      </w:r>
      <w:r>
        <w:rPr>
          <w:rStyle w:val="45"/>
          <w:rFonts w:ascii="宋体" w:hAnsi="宋体"/>
        </w:rPr>
        <w:t>.</w:t>
      </w:r>
      <w:r>
        <w:rPr>
          <w:rStyle w:val="45"/>
          <w:rFonts w:hint="eastAsia" w:ascii="宋体" w:hAnsi="宋体"/>
        </w:rPr>
        <w:t>资格声明函</w:t>
      </w:r>
      <w:r>
        <w:tab/>
      </w:r>
      <w:r>
        <w:fldChar w:fldCharType="begin"/>
      </w:r>
      <w:r>
        <w:instrText xml:space="preserve"> PAGEREF _Toc22114903 \h </w:instrText>
      </w:r>
      <w:r>
        <w:fldChar w:fldCharType="separate"/>
      </w:r>
      <w:r>
        <w:t>40</w:t>
      </w:r>
      <w:r>
        <w:fldChar w:fldCharType="end"/>
      </w:r>
      <w:r>
        <w:fldChar w:fldCharType="end"/>
      </w:r>
    </w:p>
    <w:p>
      <w:pPr>
        <w:pStyle w:val="33"/>
        <w:tabs>
          <w:tab w:val="right" w:leader="dot" w:pos="8390"/>
        </w:tabs>
        <w:rPr>
          <w:rFonts w:asciiTheme="minorHAnsi" w:hAnsiTheme="minorHAnsi" w:eastAsiaTheme="minorEastAsia" w:cstheme="minorBidi"/>
          <w:kern w:val="2"/>
          <w:sz w:val="21"/>
        </w:rPr>
      </w:pPr>
      <w:r>
        <w:fldChar w:fldCharType="begin"/>
      </w:r>
      <w:r>
        <w:instrText xml:space="preserve"> HYPERLINK \l "_Toc22114905" </w:instrText>
      </w:r>
      <w:r>
        <w:fldChar w:fldCharType="separate"/>
      </w:r>
      <w:r>
        <w:rPr>
          <w:rStyle w:val="45"/>
          <w:rFonts w:hint="eastAsia" w:ascii="宋体" w:hAnsi="宋体"/>
        </w:rPr>
        <w:t>七、反商业贿赂承诺书</w:t>
      </w:r>
      <w:r>
        <w:tab/>
      </w:r>
      <w:r>
        <w:fldChar w:fldCharType="begin"/>
      </w:r>
      <w:r>
        <w:instrText xml:space="preserve"> PAGEREF _Toc22114905 \h </w:instrText>
      </w:r>
      <w:r>
        <w:fldChar w:fldCharType="separate"/>
      </w:r>
      <w:r>
        <w:t>42</w:t>
      </w:r>
      <w:r>
        <w:fldChar w:fldCharType="end"/>
      </w:r>
      <w:r>
        <w:fldChar w:fldCharType="end"/>
      </w:r>
    </w:p>
    <w:p>
      <w:pPr>
        <w:pStyle w:val="33"/>
        <w:tabs>
          <w:tab w:val="right" w:leader="dot" w:pos="8390"/>
        </w:tabs>
        <w:rPr>
          <w:rFonts w:asciiTheme="minorHAnsi" w:hAnsiTheme="minorHAnsi" w:eastAsiaTheme="minorEastAsia" w:cstheme="minorBidi"/>
          <w:kern w:val="2"/>
          <w:sz w:val="21"/>
        </w:rPr>
      </w:pPr>
      <w:r>
        <w:fldChar w:fldCharType="begin"/>
      </w:r>
      <w:r>
        <w:instrText xml:space="preserve"> HYPERLINK \l "_Toc22114906" </w:instrText>
      </w:r>
      <w:r>
        <w:fldChar w:fldCharType="separate"/>
      </w:r>
      <w:r>
        <w:rPr>
          <w:rStyle w:val="45"/>
          <w:rFonts w:hint="eastAsia" w:ascii="宋体" w:hAnsi="宋体"/>
        </w:rPr>
        <w:t>八、项目主要管理人员情况表</w:t>
      </w:r>
      <w:r>
        <w:tab/>
      </w:r>
      <w:r>
        <w:fldChar w:fldCharType="begin"/>
      </w:r>
      <w:r>
        <w:instrText xml:space="preserve"> PAGEREF _Toc22114906 \h </w:instrText>
      </w:r>
      <w:r>
        <w:fldChar w:fldCharType="separate"/>
      </w:r>
      <w:r>
        <w:t>43</w:t>
      </w:r>
      <w:r>
        <w:fldChar w:fldCharType="end"/>
      </w:r>
      <w:r>
        <w:fldChar w:fldCharType="end"/>
      </w:r>
    </w:p>
    <w:p>
      <w:pPr>
        <w:pStyle w:val="33"/>
        <w:tabs>
          <w:tab w:val="right" w:leader="dot" w:pos="8390"/>
        </w:tabs>
        <w:rPr>
          <w:rFonts w:asciiTheme="minorHAnsi" w:hAnsiTheme="minorHAnsi" w:eastAsiaTheme="minorEastAsia" w:cstheme="minorBidi"/>
          <w:kern w:val="2"/>
          <w:sz w:val="21"/>
        </w:rPr>
      </w:pPr>
      <w:r>
        <w:fldChar w:fldCharType="begin"/>
      </w:r>
      <w:r>
        <w:instrText xml:space="preserve"> HYPERLINK \l "_Toc22114907" </w:instrText>
      </w:r>
      <w:r>
        <w:fldChar w:fldCharType="separate"/>
      </w:r>
      <w:r>
        <w:rPr>
          <w:rStyle w:val="45"/>
          <w:rFonts w:hint="eastAsia" w:ascii="宋体" w:hAnsi="宋体"/>
        </w:rPr>
        <w:t>九、</w:t>
      </w:r>
      <w:r>
        <w:rPr>
          <w:rStyle w:val="45"/>
          <w:rFonts w:hint="eastAsia" w:ascii="Times New Roman" w:hAnsi="Times New Roman"/>
        </w:rPr>
        <w:t>中小微企业声明函</w:t>
      </w:r>
      <w:r>
        <w:tab/>
      </w:r>
      <w:r>
        <w:fldChar w:fldCharType="begin"/>
      </w:r>
      <w:r>
        <w:instrText xml:space="preserve"> PAGEREF _Toc22114907 \h </w:instrText>
      </w:r>
      <w:r>
        <w:fldChar w:fldCharType="separate"/>
      </w:r>
      <w:r>
        <w:t>44</w:t>
      </w:r>
      <w:r>
        <w:fldChar w:fldCharType="end"/>
      </w:r>
      <w:r>
        <w:fldChar w:fldCharType="end"/>
      </w:r>
    </w:p>
    <w:p>
      <w:pPr>
        <w:pStyle w:val="33"/>
        <w:tabs>
          <w:tab w:val="right" w:leader="underscore" w:pos="8296"/>
        </w:tabs>
        <w:spacing w:line="640" w:lineRule="exact"/>
        <w:rPr>
          <w:rFonts w:ascii="宋体" w:hAnsi="宋体" w:cs="宋体"/>
          <w:szCs w:val="24"/>
        </w:rPr>
      </w:pPr>
      <w:r>
        <w:rPr>
          <w:rFonts w:hint="eastAsia" w:ascii="宋体" w:hAnsi="宋体" w:cs="宋体"/>
          <w:szCs w:val="24"/>
        </w:rPr>
        <w:fldChar w:fldCharType="end"/>
      </w:r>
      <w:bookmarkStart w:id="2" w:name="_Toc152042287"/>
      <w:bookmarkStart w:id="3" w:name="_Toc152045511"/>
      <w:bookmarkStart w:id="4" w:name="_Toc144974479"/>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3"/>
        <w:spacing w:before="120" w:after="120" w:line="400" w:lineRule="exact"/>
        <w:jc w:val="center"/>
        <w:rPr>
          <w:rFonts w:ascii="宋体" w:hAnsi="宋体" w:cs="宋体"/>
          <w:bCs w:val="0"/>
          <w:sz w:val="32"/>
        </w:rPr>
      </w:pPr>
      <w:bookmarkStart w:id="5" w:name="_Toc22114892"/>
      <w:r>
        <w:rPr>
          <w:rFonts w:hint="eastAsia" w:ascii="宋体" w:hAnsi="宋体" w:cs="宋体"/>
          <w:bCs w:val="0"/>
          <w:sz w:val="32"/>
        </w:rPr>
        <w:t>第一章 竞争性磋商公告</w:t>
      </w:r>
      <w:bookmarkEnd w:id="2"/>
      <w:bookmarkEnd w:id="3"/>
      <w:bookmarkEnd w:id="4"/>
      <w:bookmarkEnd w:id="5"/>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color w:val="444444"/>
          <w:sz w:val="28"/>
          <w:szCs w:val="28"/>
          <w:lang w:eastAsia="zh-CN"/>
        </w:rPr>
      </w:pPr>
      <w:bookmarkStart w:id="6" w:name="_Toc152042303"/>
      <w:bookmarkStart w:id="7" w:name="_Toc144974495"/>
      <w:bookmarkStart w:id="8" w:name="_Toc152045527"/>
      <w:r>
        <w:rPr>
          <w:rFonts w:hint="eastAsia"/>
          <w:color w:val="444444"/>
          <w:sz w:val="28"/>
          <w:szCs w:val="28"/>
          <w:lang w:eastAsia="zh-CN"/>
        </w:rPr>
        <w:t>郑州市教育局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sz w:val="28"/>
          <w:szCs w:val="28"/>
        </w:rPr>
      </w:pPr>
      <w:r>
        <w:rPr>
          <w:rFonts w:hint="eastAsia"/>
          <w:color w:val="444444"/>
          <w:sz w:val="28"/>
          <w:szCs w:val="28"/>
          <w:lang w:eastAsia="zh-CN"/>
        </w:rPr>
        <w:t>郑州美育微信公众号全年运营服务项目</w:t>
      </w:r>
      <w:r>
        <w:rPr>
          <w:color w:val="444444"/>
          <w:sz w:val="28"/>
          <w:szCs w:val="28"/>
        </w:rPr>
        <w:t>竞争性磋商公告</w:t>
      </w:r>
    </w:p>
    <w:p>
      <w:pPr>
        <w:pStyle w:val="35"/>
        <w:keepNext w:val="0"/>
        <w:keepLines w:val="0"/>
        <w:widowControl/>
        <w:suppressLineNumbers w:val="0"/>
        <w:spacing w:before="0" w:beforeAutospacing="0" w:after="0" w:afterAutospacing="0" w:line="324" w:lineRule="atLeast"/>
        <w:ind w:left="0" w:right="0" w:firstLine="3190" w:firstLineChars="1679"/>
        <w:jc w:val="left"/>
        <w:rPr>
          <w:rFonts w:hint="eastAsia" w:ascii="宋体" w:hAnsi="宋体" w:eastAsia="宋体" w:cs="宋体"/>
          <w:smallCaps/>
          <w:color w:val="444444"/>
          <w:sz w:val="19"/>
          <w:szCs w:val="19"/>
          <w:lang w:eastAsia="zh-CN"/>
        </w:rPr>
      </w:pPr>
      <w:r>
        <w:rPr>
          <w:rFonts w:hint="eastAsia" w:ascii="宋体" w:hAnsi="宋体" w:eastAsia="宋体" w:cs="宋体"/>
          <w:smallCaps/>
          <w:color w:val="444444"/>
          <w:sz w:val="19"/>
          <w:szCs w:val="19"/>
          <w:lang w:val="en-US" w:eastAsia="zh-CN"/>
        </w:rPr>
        <w:t xml:space="preserve"> </w:t>
      </w:r>
      <w:r>
        <w:rPr>
          <w:rFonts w:hint="eastAsia" w:ascii="宋体" w:hAnsi="宋体" w:eastAsia="宋体" w:cs="宋体"/>
          <w:smallCaps/>
          <w:color w:val="444444"/>
          <w:sz w:val="19"/>
          <w:szCs w:val="19"/>
          <w:lang w:eastAsia="zh-CN"/>
        </w:rPr>
        <w:t>编号：WX2020-0646</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pPr>
      <w:r>
        <w:rPr>
          <w:rFonts w:hint="eastAsia" w:ascii="宋体" w:hAnsi="宋体" w:eastAsia="宋体" w:cs="宋体"/>
          <w:smallCaps/>
          <w:color w:val="444444"/>
          <w:sz w:val="20"/>
          <w:szCs w:val="20"/>
        </w:rPr>
        <w:t>河南省伟信招标管理咨询有限公司受</w:t>
      </w:r>
      <w:r>
        <w:rPr>
          <w:rFonts w:hint="eastAsia" w:ascii="宋体" w:hAnsi="宋体" w:eastAsia="宋体" w:cs="宋体"/>
          <w:smallCaps/>
          <w:color w:val="444444"/>
          <w:sz w:val="20"/>
          <w:szCs w:val="20"/>
          <w:lang w:eastAsia="zh-CN"/>
        </w:rPr>
        <w:t>郑州市教育局</w:t>
      </w:r>
      <w:r>
        <w:rPr>
          <w:rFonts w:hint="eastAsia" w:ascii="宋体" w:hAnsi="宋体" w:eastAsia="宋体" w:cs="宋体"/>
          <w:smallCaps/>
          <w:color w:val="444444"/>
          <w:sz w:val="20"/>
          <w:szCs w:val="20"/>
        </w:rPr>
        <w:t>的委托，就</w:t>
      </w:r>
      <w:r>
        <w:rPr>
          <w:rFonts w:hint="eastAsia" w:ascii="宋体" w:hAnsi="宋体" w:eastAsia="宋体" w:cs="宋体"/>
          <w:smallCaps/>
          <w:color w:val="444444"/>
          <w:sz w:val="20"/>
          <w:szCs w:val="20"/>
          <w:lang w:eastAsia="zh-CN"/>
        </w:rPr>
        <w:t>郑州市教育局郑州美育微信公众号全年运营服务项目</w:t>
      </w:r>
      <w:r>
        <w:rPr>
          <w:rFonts w:hint="eastAsia" w:ascii="宋体" w:hAnsi="宋体" w:eastAsia="宋体" w:cs="宋体"/>
          <w:smallCaps/>
          <w:color w:val="444444"/>
          <w:sz w:val="20"/>
          <w:szCs w:val="20"/>
        </w:rPr>
        <w:t>进行竞争性磋商采购，现欢迎符合相关条件的供应商参加投标</w:t>
      </w:r>
      <w:r>
        <w:rPr>
          <w:rFonts w:hint="eastAsia" w:ascii="宋体" w:hAnsi="宋体" w:eastAsia="宋体" w:cs="宋体"/>
          <w:smallCaps/>
          <w:color w:val="444444"/>
          <w:sz w:val="19"/>
          <w:szCs w:val="19"/>
        </w:rPr>
        <w:t>。</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pPr>
      <w:r>
        <w:rPr>
          <w:rStyle w:val="42"/>
          <w:rFonts w:hint="eastAsia" w:ascii="宋体" w:hAnsi="宋体" w:eastAsia="宋体" w:cs="宋体"/>
          <w:b/>
          <w:smallCaps/>
          <w:color w:val="444444"/>
          <w:sz w:val="19"/>
          <w:szCs w:val="19"/>
        </w:rPr>
        <w:t>一、招标项目名称及编号：</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lang w:eastAsia="zh-CN"/>
        </w:rPr>
      </w:pPr>
      <w:r>
        <w:rPr>
          <w:rFonts w:hint="eastAsia" w:ascii="宋体" w:hAnsi="宋体" w:eastAsia="宋体" w:cs="宋体"/>
          <w:smallCaps/>
          <w:color w:val="444444"/>
          <w:sz w:val="20"/>
          <w:szCs w:val="20"/>
        </w:rPr>
        <w:t>1.1项目名称：</w:t>
      </w:r>
      <w:r>
        <w:rPr>
          <w:rFonts w:hint="eastAsia" w:ascii="宋体" w:hAnsi="宋体" w:eastAsia="宋体" w:cs="宋体"/>
          <w:smallCaps/>
          <w:color w:val="444444"/>
          <w:sz w:val="20"/>
          <w:szCs w:val="20"/>
          <w:lang w:eastAsia="zh-CN"/>
        </w:rPr>
        <w:t>郑州市教育局郑州美育微信公众号全年运营服务项目</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lang w:eastAsia="zh-CN"/>
        </w:rPr>
      </w:pPr>
      <w:r>
        <w:rPr>
          <w:rFonts w:hint="eastAsia" w:ascii="宋体" w:hAnsi="宋体" w:eastAsia="宋体" w:cs="宋体"/>
          <w:smallCaps/>
          <w:color w:val="444444"/>
          <w:sz w:val="20"/>
          <w:szCs w:val="20"/>
        </w:rPr>
        <w:t>1.2采购编号： WX2020-0646</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pPr>
      <w:r>
        <w:rPr>
          <w:rStyle w:val="42"/>
          <w:rFonts w:hint="eastAsia" w:ascii="宋体" w:hAnsi="宋体" w:eastAsia="宋体" w:cs="宋体"/>
          <w:b/>
          <w:smallCaps/>
          <w:color w:val="444444"/>
          <w:sz w:val="19"/>
          <w:szCs w:val="19"/>
        </w:rPr>
        <w:t>二、招标项目简要说明：</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rPr>
        <w:t>2.1采购内容：</w:t>
      </w:r>
      <w:r>
        <w:rPr>
          <w:rFonts w:hint="eastAsia" w:ascii="宋体" w:hAnsi="宋体" w:eastAsia="宋体" w:cs="宋体"/>
          <w:smallCaps/>
          <w:color w:val="444444"/>
          <w:sz w:val="20"/>
          <w:szCs w:val="20"/>
          <w:lang w:eastAsia="zh-CN"/>
        </w:rPr>
        <w:t>郑州市教育局郑州美育微信公众号全年运营服务项目</w:t>
      </w:r>
      <w:r>
        <w:rPr>
          <w:rFonts w:hint="eastAsia" w:ascii="宋体" w:hAnsi="宋体" w:eastAsia="宋体" w:cs="宋体"/>
          <w:smallCaps/>
          <w:color w:val="444444"/>
          <w:sz w:val="20"/>
          <w:szCs w:val="20"/>
        </w:rPr>
        <w:t>；</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rPr>
        <w:t>2.2采购预算：</w:t>
      </w:r>
      <w:r>
        <w:rPr>
          <w:rFonts w:hint="eastAsia" w:ascii="宋体" w:hAnsi="宋体" w:eastAsia="宋体" w:cs="宋体"/>
          <w:smallCaps/>
          <w:color w:val="444444"/>
          <w:sz w:val="20"/>
          <w:szCs w:val="20"/>
          <w:lang w:val="en-US" w:eastAsia="zh-CN"/>
        </w:rPr>
        <w:t>30</w:t>
      </w:r>
      <w:r>
        <w:rPr>
          <w:rFonts w:hint="eastAsia" w:ascii="宋体" w:hAnsi="宋体" w:eastAsia="宋体" w:cs="宋体"/>
          <w:smallCaps/>
          <w:color w:val="444444"/>
          <w:sz w:val="20"/>
          <w:szCs w:val="20"/>
        </w:rPr>
        <w:t>万元；</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lang w:val="en-US" w:eastAsia="zh-CN"/>
        </w:rPr>
      </w:pPr>
      <w:r>
        <w:rPr>
          <w:rFonts w:hint="eastAsia" w:ascii="宋体" w:hAnsi="宋体" w:eastAsia="宋体" w:cs="宋体"/>
          <w:smallCaps/>
          <w:color w:val="444444"/>
          <w:sz w:val="20"/>
          <w:szCs w:val="20"/>
        </w:rPr>
        <w:t>2.3</w:t>
      </w:r>
      <w:r>
        <w:rPr>
          <w:rFonts w:hint="eastAsia" w:ascii="宋体" w:hAnsi="宋体" w:eastAsia="宋体" w:cs="宋体"/>
          <w:smallCaps/>
          <w:color w:val="444444"/>
          <w:sz w:val="20"/>
          <w:szCs w:val="20"/>
          <w:lang w:eastAsia="zh-CN"/>
        </w:rPr>
        <w:t>服务期限</w:t>
      </w:r>
      <w:r>
        <w:rPr>
          <w:rFonts w:hint="eastAsia" w:ascii="宋体" w:hAnsi="宋体" w:eastAsia="宋体" w:cs="宋体"/>
          <w:smallCaps/>
          <w:color w:val="444444"/>
          <w:sz w:val="20"/>
          <w:szCs w:val="20"/>
        </w:rPr>
        <w:t>：</w:t>
      </w:r>
      <w:r>
        <w:rPr>
          <w:rFonts w:hint="eastAsia" w:ascii="宋体" w:hAnsi="宋体" w:eastAsia="宋体" w:cs="宋体"/>
          <w:smallCaps/>
          <w:color w:val="444444"/>
          <w:sz w:val="20"/>
          <w:szCs w:val="20"/>
          <w:lang w:val="en-US" w:eastAsia="zh-CN"/>
        </w:rPr>
        <w:t>一年</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rPr>
        <w:t>2.4标段划分：本项目分为一个标段</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rPr>
        <w:t>2.5本项目执行节能、环保、中小企业优惠等政府采购政策。</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pPr>
      <w:r>
        <w:rPr>
          <w:rStyle w:val="42"/>
          <w:rFonts w:hint="eastAsia" w:ascii="宋体" w:hAnsi="宋体" w:eastAsia="宋体" w:cs="宋体"/>
          <w:b/>
          <w:smallCaps/>
          <w:color w:val="444444"/>
          <w:sz w:val="19"/>
          <w:szCs w:val="19"/>
        </w:rPr>
        <w:t>三、投标人资质要求：</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rPr>
        <w:t>3.1供应商必须符合《中华人民共和国政府采购法》第二十二条规定的条件。</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rPr>
        <w:t>3.1.1具有独立承担民事责任的能力；</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rPr>
        <w:t>3.1.2具有良好的商业信誉和健全的财务会计制度；</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rPr>
        <w:t>3.1.3具有履行合同所必需的设备和专业技术能力；</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rPr>
        <w:t>3.1.4有依法缴纳税收和社会保障资金的良好记录；</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rPr>
        <w:t>3.1.5参加政府采购活动前三年内，在经营活动中没有重大违法记录。</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rPr>
        <w:t>3.2．通过“信用中国”网站（www.creditchina.gov.cn）、中国政府采购网（www.ccgp.gov.cn）等渠道查询企业信用记录，对列入失信被执行人、重大税收违法案件当事人名单、政府采购严重违法失信行为记录名单供应商，拒绝其参与本次政府采购活动。</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rPr>
        <w:t>3.3单位负责人为同一人或者存在控股、管理关系的不同单位，不得参加同一标段投标或者未划分标段的同一招标项目投标。</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rPr>
        <w:t>3.6不接受联合体投标。</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pPr>
      <w:r>
        <w:rPr>
          <w:rStyle w:val="42"/>
          <w:rFonts w:hint="eastAsia" w:ascii="宋体" w:hAnsi="宋体" w:eastAsia="宋体" w:cs="宋体"/>
          <w:b/>
          <w:smallCaps/>
          <w:color w:val="444444"/>
          <w:sz w:val="19"/>
          <w:szCs w:val="19"/>
        </w:rPr>
        <w:t>四. 招标文件获取</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rPr>
        <w:t>4.1凡有意参加投标者，请2020年</w:t>
      </w:r>
      <w:r>
        <w:rPr>
          <w:rFonts w:hint="eastAsia" w:ascii="宋体" w:hAnsi="宋体" w:eastAsia="宋体" w:cs="宋体"/>
          <w:smallCaps/>
          <w:color w:val="444444"/>
          <w:sz w:val="20"/>
          <w:szCs w:val="20"/>
          <w:lang w:val="en-US" w:eastAsia="zh-CN"/>
        </w:rPr>
        <w:t>6</w:t>
      </w:r>
      <w:r>
        <w:rPr>
          <w:rFonts w:hint="eastAsia" w:ascii="宋体" w:hAnsi="宋体" w:eastAsia="宋体" w:cs="宋体"/>
          <w:smallCaps/>
          <w:color w:val="444444"/>
          <w:sz w:val="20"/>
          <w:szCs w:val="20"/>
        </w:rPr>
        <w:t>月</w:t>
      </w:r>
      <w:r>
        <w:rPr>
          <w:rFonts w:hint="eastAsia" w:ascii="宋体" w:hAnsi="宋体" w:eastAsia="宋体" w:cs="宋体"/>
          <w:smallCaps/>
          <w:color w:val="444444"/>
          <w:sz w:val="20"/>
          <w:szCs w:val="20"/>
          <w:lang w:val="en-US" w:eastAsia="zh-CN"/>
        </w:rPr>
        <w:t>10</w:t>
      </w:r>
      <w:r>
        <w:rPr>
          <w:rFonts w:hint="eastAsia" w:ascii="宋体" w:hAnsi="宋体" w:eastAsia="宋体" w:cs="宋体"/>
          <w:smallCaps/>
          <w:color w:val="444444"/>
          <w:sz w:val="20"/>
          <w:szCs w:val="20"/>
        </w:rPr>
        <w:t>日至2020年</w:t>
      </w:r>
      <w:r>
        <w:rPr>
          <w:rFonts w:hint="eastAsia" w:ascii="宋体" w:hAnsi="宋体" w:eastAsia="宋体" w:cs="宋体"/>
          <w:smallCaps/>
          <w:color w:val="444444"/>
          <w:sz w:val="20"/>
          <w:szCs w:val="20"/>
          <w:lang w:val="en-US" w:eastAsia="zh-CN"/>
        </w:rPr>
        <w:t>6</w:t>
      </w:r>
      <w:r>
        <w:rPr>
          <w:rFonts w:hint="eastAsia" w:ascii="宋体" w:hAnsi="宋体" w:eastAsia="宋体" w:cs="宋体"/>
          <w:smallCaps/>
          <w:color w:val="444444"/>
          <w:sz w:val="20"/>
          <w:szCs w:val="20"/>
        </w:rPr>
        <w:t>月</w:t>
      </w:r>
      <w:r>
        <w:rPr>
          <w:rFonts w:hint="eastAsia" w:ascii="宋体" w:hAnsi="宋体" w:eastAsia="宋体" w:cs="宋体"/>
          <w:smallCaps/>
          <w:color w:val="444444"/>
          <w:sz w:val="20"/>
          <w:szCs w:val="20"/>
          <w:lang w:val="en-US" w:eastAsia="zh-CN"/>
        </w:rPr>
        <w:t>16</w:t>
      </w:r>
      <w:r>
        <w:rPr>
          <w:rFonts w:hint="eastAsia" w:ascii="宋体" w:hAnsi="宋体" w:eastAsia="宋体" w:cs="宋体"/>
          <w:smallCaps/>
          <w:color w:val="444444"/>
          <w:sz w:val="20"/>
          <w:szCs w:val="20"/>
        </w:rPr>
        <w:t>日工作时间，至郑州市郑东新区东风南路6号绿地中心北塔16楼领取文件。领取文件时请携带营业执照复印件，授权委托书及代理人身份证等原件。</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lang w:eastAsia="zh-CN"/>
        </w:rPr>
      </w:pPr>
      <w:r>
        <w:rPr>
          <w:rFonts w:hint="eastAsia" w:ascii="宋体" w:hAnsi="宋体" w:eastAsia="宋体" w:cs="宋体"/>
          <w:smallCaps/>
          <w:color w:val="444444"/>
          <w:sz w:val="20"/>
          <w:szCs w:val="20"/>
        </w:rPr>
        <w:t>4.2文件售价</w:t>
      </w:r>
      <w:r>
        <w:rPr>
          <w:rFonts w:hint="eastAsia" w:ascii="宋体" w:hAnsi="宋体" w:eastAsia="宋体" w:cs="宋体"/>
          <w:smallCaps/>
          <w:color w:val="444444"/>
          <w:sz w:val="20"/>
          <w:szCs w:val="20"/>
          <w:lang w:val="en-US" w:eastAsia="zh-CN"/>
        </w:rPr>
        <w:t>3</w:t>
      </w:r>
      <w:r>
        <w:rPr>
          <w:rFonts w:hint="eastAsia" w:ascii="宋体" w:hAnsi="宋体" w:eastAsia="宋体" w:cs="宋体"/>
          <w:smallCaps/>
          <w:color w:val="444444"/>
          <w:sz w:val="20"/>
          <w:szCs w:val="20"/>
        </w:rPr>
        <w:t>00元/份，售后不退。</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pPr>
      <w:r>
        <w:rPr>
          <w:rStyle w:val="42"/>
          <w:rFonts w:hint="eastAsia" w:ascii="宋体" w:hAnsi="宋体" w:eastAsia="宋体" w:cs="宋体"/>
          <w:b/>
          <w:smallCaps/>
          <w:color w:val="444444"/>
          <w:sz w:val="19"/>
          <w:szCs w:val="19"/>
        </w:rPr>
        <w:t>五.投标文件的递交</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rPr>
        <w:t>5.1 投标文件递交的截止时间（投标截止时间，下同）为2020年</w:t>
      </w:r>
      <w:r>
        <w:rPr>
          <w:rFonts w:hint="eastAsia" w:ascii="宋体" w:hAnsi="宋体" w:eastAsia="宋体" w:cs="宋体"/>
          <w:smallCaps/>
          <w:color w:val="444444"/>
          <w:sz w:val="20"/>
          <w:szCs w:val="20"/>
          <w:lang w:val="en-US" w:eastAsia="zh-CN"/>
        </w:rPr>
        <w:t>6</w:t>
      </w:r>
      <w:r>
        <w:rPr>
          <w:rFonts w:hint="eastAsia" w:ascii="宋体" w:hAnsi="宋体" w:eastAsia="宋体" w:cs="宋体"/>
          <w:smallCaps/>
          <w:color w:val="444444"/>
          <w:sz w:val="20"/>
          <w:szCs w:val="20"/>
        </w:rPr>
        <w:t>月</w:t>
      </w:r>
      <w:r>
        <w:rPr>
          <w:rFonts w:hint="eastAsia" w:ascii="宋体" w:hAnsi="宋体" w:eastAsia="宋体" w:cs="宋体"/>
          <w:smallCaps/>
          <w:color w:val="444444"/>
          <w:sz w:val="20"/>
          <w:szCs w:val="20"/>
          <w:lang w:val="en-US" w:eastAsia="zh-CN"/>
        </w:rPr>
        <w:t>22</w:t>
      </w:r>
      <w:r>
        <w:rPr>
          <w:rFonts w:hint="eastAsia" w:ascii="宋体" w:hAnsi="宋体" w:eastAsia="宋体" w:cs="宋体"/>
          <w:smallCaps/>
          <w:color w:val="444444"/>
          <w:sz w:val="20"/>
          <w:szCs w:val="20"/>
        </w:rPr>
        <w:t>日</w:t>
      </w:r>
      <w:r>
        <w:rPr>
          <w:rFonts w:hint="eastAsia" w:ascii="宋体" w:hAnsi="宋体" w:eastAsia="宋体" w:cs="宋体"/>
          <w:smallCaps/>
          <w:color w:val="444444"/>
          <w:sz w:val="20"/>
          <w:szCs w:val="20"/>
          <w:lang w:val="en-US" w:eastAsia="zh-CN"/>
        </w:rPr>
        <w:t>15</w:t>
      </w:r>
      <w:r>
        <w:rPr>
          <w:rFonts w:hint="eastAsia" w:ascii="宋体" w:hAnsi="宋体" w:eastAsia="宋体" w:cs="宋体"/>
          <w:smallCaps/>
          <w:color w:val="444444"/>
          <w:sz w:val="20"/>
          <w:szCs w:val="20"/>
        </w:rPr>
        <w:t>:00，地点为郑州市中原西路40号郑州市教育局七楼709会议室。</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rPr>
        <w:t>5.2逾期送达或者未送达指定地点的投标文件，招标人不予受理。</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pPr>
      <w:r>
        <w:rPr>
          <w:rStyle w:val="42"/>
          <w:rFonts w:hint="eastAsia" w:ascii="宋体" w:hAnsi="宋体" w:eastAsia="宋体" w:cs="宋体"/>
          <w:b/>
          <w:smallCaps/>
          <w:color w:val="444444"/>
          <w:sz w:val="19"/>
          <w:szCs w:val="19"/>
        </w:rPr>
        <w:t>六. 发布公告的媒介</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pPr>
      <w:r>
        <w:rPr>
          <w:rFonts w:hint="eastAsia" w:ascii="宋体" w:hAnsi="宋体" w:eastAsia="宋体" w:cs="宋体"/>
          <w:smallCaps/>
          <w:color w:val="444444"/>
          <w:sz w:val="20"/>
          <w:szCs w:val="20"/>
        </w:rPr>
        <w:t>本次招标公告同时在《中国政府采购网》、《河南省政府采购网》上公开发布。</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pPr>
      <w:r>
        <w:rPr>
          <w:rStyle w:val="42"/>
          <w:rFonts w:hint="eastAsia" w:ascii="宋体" w:hAnsi="宋体" w:eastAsia="宋体" w:cs="宋体"/>
          <w:b/>
          <w:smallCaps/>
          <w:color w:val="444444"/>
          <w:sz w:val="19"/>
          <w:szCs w:val="19"/>
        </w:rPr>
        <w:t>七、 本次采购联系事项：</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lang w:eastAsia="zh-CN"/>
        </w:rPr>
      </w:pPr>
      <w:r>
        <w:rPr>
          <w:rFonts w:hint="eastAsia" w:ascii="宋体" w:hAnsi="宋体" w:eastAsia="宋体" w:cs="宋体"/>
          <w:smallCaps/>
          <w:color w:val="444444"/>
          <w:sz w:val="20"/>
          <w:szCs w:val="20"/>
        </w:rPr>
        <w:t>采 购 人：</w:t>
      </w:r>
      <w:r>
        <w:rPr>
          <w:rFonts w:hint="eastAsia" w:ascii="宋体" w:hAnsi="宋体" w:eastAsia="宋体" w:cs="宋体"/>
          <w:smallCaps/>
          <w:color w:val="444444"/>
          <w:sz w:val="20"/>
          <w:szCs w:val="20"/>
          <w:lang w:eastAsia="zh-CN"/>
        </w:rPr>
        <w:t>郑州市教育局</w:t>
      </w:r>
      <w:r>
        <w:rPr>
          <w:rFonts w:hint="eastAsia" w:ascii="宋体" w:hAnsi="宋体" w:eastAsia="宋体" w:cs="宋体"/>
          <w:smallCaps/>
          <w:color w:val="444444"/>
          <w:sz w:val="20"/>
          <w:szCs w:val="20"/>
        </w:rPr>
        <w:t xml:space="preserve"> </w:t>
      </w:r>
      <w:r>
        <w:rPr>
          <w:rFonts w:hint="eastAsia" w:ascii="宋体" w:hAnsi="宋体" w:eastAsia="宋体" w:cs="宋体"/>
          <w:smallCaps/>
          <w:color w:val="444444"/>
          <w:sz w:val="20"/>
          <w:szCs w:val="20"/>
          <w:lang w:val="en-US" w:eastAsia="zh-CN"/>
        </w:rPr>
        <w:t xml:space="preserve">           </w:t>
      </w:r>
      <w:r>
        <w:rPr>
          <w:rFonts w:hint="eastAsia" w:ascii="宋体" w:hAnsi="宋体" w:eastAsia="宋体" w:cs="宋体"/>
          <w:smallCaps/>
          <w:color w:val="444444"/>
          <w:sz w:val="20"/>
          <w:szCs w:val="20"/>
        </w:rPr>
        <w:t>联系地址：</w:t>
      </w:r>
      <w:r>
        <w:rPr>
          <w:rFonts w:hint="eastAsia" w:ascii="宋体" w:hAnsi="宋体" w:eastAsia="宋体" w:cs="宋体"/>
          <w:smallCaps/>
          <w:color w:val="444444"/>
          <w:sz w:val="20"/>
          <w:szCs w:val="20"/>
          <w:lang w:eastAsia="zh-CN"/>
        </w:rPr>
        <w:t>郑州市中原区中原西路40号</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default" w:ascii="宋体" w:hAnsi="宋体" w:eastAsia="宋体" w:cs="宋体"/>
          <w:smallCaps/>
          <w:color w:val="444444"/>
          <w:sz w:val="20"/>
          <w:szCs w:val="20"/>
          <w:lang w:val="en-US" w:eastAsia="zh-CN"/>
        </w:rPr>
      </w:pPr>
      <w:r>
        <w:rPr>
          <w:rFonts w:hint="eastAsia" w:ascii="宋体" w:hAnsi="宋体" w:eastAsia="宋体" w:cs="宋体"/>
          <w:smallCaps/>
          <w:color w:val="444444"/>
          <w:sz w:val="20"/>
          <w:szCs w:val="20"/>
        </w:rPr>
        <w:t>联 系 人：</w:t>
      </w:r>
      <w:r>
        <w:rPr>
          <w:rFonts w:hint="eastAsia" w:ascii="宋体" w:hAnsi="宋体" w:eastAsia="宋体" w:cs="宋体"/>
          <w:smallCaps/>
          <w:color w:val="444444"/>
          <w:sz w:val="20"/>
          <w:szCs w:val="20"/>
          <w:lang w:val="en-US" w:eastAsia="zh-CN"/>
        </w:rPr>
        <w:t>白</w:t>
      </w:r>
      <w:r>
        <w:rPr>
          <w:rFonts w:hint="eastAsia" w:ascii="宋体" w:hAnsi="宋体" w:eastAsia="宋体" w:cs="宋体"/>
          <w:smallCaps/>
          <w:color w:val="444444"/>
          <w:sz w:val="20"/>
          <w:szCs w:val="20"/>
          <w:lang w:eastAsia="zh-CN"/>
        </w:rPr>
        <w:t>老师</w:t>
      </w:r>
      <w:r>
        <w:rPr>
          <w:rFonts w:hint="eastAsia" w:ascii="宋体" w:hAnsi="宋体" w:eastAsia="宋体" w:cs="宋体"/>
          <w:smallCaps/>
          <w:color w:val="444444"/>
          <w:sz w:val="20"/>
          <w:szCs w:val="20"/>
          <w:lang w:val="en-US" w:eastAsia="zh-CN"/>
        </w:rPr>
        <w:t xml:space="preserve">  </w:t>
      </w:r>
      <w:r>
        <w:rPr>
          <w:rFonts w:hint="eastAsia" w:ascii="宋体" w:hAnsi="宋体" w:eastAsia="宋体" w:cs="宋体"/>
          <w:smallCaps/>
          <w:color w:val="444444"/>
          <w:sz w:val="20"/>
          <w:szCs w:val="20"/>
        </w:rPr>
        <w:t xml:space="preserve"> </w:t>
      </w:r>
      <w:r>
        <w:rPr>
          <w:rFonts w:hint="eastAsia" w:ascii="宋体" w:hAnsi="宋体" w:eastAsia="宋体" w:cs="宋体"/>
          <w:smallCaps/>
          <w:color w:val="444444"/>
          <w:sz w:val="20"/>
          <w:szCs w:val="20"/>
          <w:lang w:val="en-US" w:eastAsia="zh-CN"/>
        </w:rPr>
        <w:t xml:space="preserve">               </w:t>
      </w:r>
      <w:r>
        <w:rPr>
          <w:rFonts w:hint="eastAsia" w:ascii="宋体" w:hAnsi="宋体" w:eastAsia="宋体" w:cs="宋体"/>
          <w:smallCaps/>
          <w:color w:val="444444"/>
          <w:sz w:val="20"/>
          <w:szCs w:val="20"/>
        </w:rPr>
        <w:t>电</w:t>
      </w:r>
      <w:r>
        <w:rPr>
          <w:rFonts w:hint="eastAsia" w:ascii="宋体" w:hAnsi="宋体" w:eastAsia="宋体" w:cs="宋体"/>
          <w:smallCaps/>
          <w:color w:val="444444"/>
          <w:sz w:val="20"/>
          <w:szCs w:val="20"/>
          <w:lang w:val="en-US" w:eastAsia="zh-CN"/>
        </w:rPr>
        <w:t xml:space="preserve">    </w:t>
      </w:r>
      <w:r>
        <w:rPr>
          <w:rFonts w:hint="eastAsia" w:ascii="宋体" w:hAnsi="宋体" w:eastAsia="宋体" w:cs="宋体"/>
          <w:smallCaps/>
          <w:color w:val="444444"/>
          <w:sz w:val="20"/>
          <w:szCs w:val="20"/>
        </w:rPr>
        <w:t xml:space="preserve"> 话：</w:t>
      </w:r>
      <w:r>
        <w:rPr>
          <w:rFonts w:hint="eastAsia" w:ascii="宋体" w:hAnsi="宋体" w:eastAsia="宋体" w:cs="宋体"/>
          <w:smallCaps/>
          <w:color w:val="444444"/>
          <w:sz w:val="20"/>
          <w:szCs w:val="20"/>
          <w:lang w:val="en-US" w:eastAsia="zh-CN"/>
        </w:rPr>
        <w:t>0371-66961474</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rPr>
        <w:t>代理机构：河南省伟信招标管理咨询有限公司</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rPr>
        <w:t>联系地址：郑州市郑东新区东风南路6号绿地中心北塔16楼</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left"/>
        <w:textAlignment w:val="auto"/>
        <w:rPr>
          <w:rFonts w:hint="eastAsia" w:ascii="宋体" w:hAnsi="宋体" w:eastAsia="宋体" w:cs="宋体"/>
          <w:smallCaps/>
          <w:color w:val="444444"/>
          <w:sz w:val="20"/>
          <w:szCs w:val="20"/>
          <w:lang w:val="en-US" w:eastAsia="zh-CN"/>
        </w:rPr>
      </w:pPr>
      <w:r>
        <w:rPr>
          <w:rFonts w:hint="eastAsia" w:ascii="宋体" w:hAnsi="宋体" w:eastAsia="宋体" w:cs="宋体"/>
          <w:smallCaps/>
          <w:color w:val="444444"/>
          <w:sz w:val="20"/>
          <w:szCs w:val="20"/>
        </w:rPr>
        <w:t xml:space="preserve">联 系 人：李先生 </w:t>
      </w:r>
      <w:r>
        <w:rPr>
          <w:rFonts w:hint="eastAsia" w:ascii="宋体" w:hAnsi="宋体" w:eastAsia="宋体" w:cs="宋体"/>
          <w:smallCaps/>
          <w:color w:val="444444"/>
          <w:sz w:val="20"/>
          <w:szCs w:val="20"/>
          <w:lang w:val="en-US" w:eastAsia="zh-CN"/>
        </w:rPr>
        <w:t xml:space="preserve">                        </w:t>
      </w:r>
      <w:r>
        <w:rPr>
          <w:rFonts w:hint="eastAsia" w:ascii="宋体" w:hAnsi="宋体" w:eastAsia="宋体" w:cs="宋体"/>
          <w:smallCaps/>
          <w:color w:val="444444"/>
          <w:sz w:val="20"/>
          <w:szCs w:val="20"/>
        </w:rPr>
        <w:t>电 话：0371-65359921 1873</w:t>
      </w:r>
      <w:r>
        <w:rPr>
          <w:rFonts w:hint="eastAsia" w:ascii="宋体" w:hAnsi="宋体" w:eastAsia="宋体" w:cs="宋体"/>
          <w:smallCaps/>
          <w:color w:val="444444"/>
          <w:sz w:val="20"/>
          <w:szCs w:val="20"/>
          <w:lang w:val="en-US" w:eastAsia="zh-CN"/>
        </w:rPr>
        <w:t>8118232</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758" w:firstLineChars="2879"/>
        <w:jc w:val="right"/>
        <w:textAlignment w:val="auto"/>
        <w:rPr>
          <w:rFonts w:hint="eastAsia" w:ascii="宋体" w:hAnsi="宋体" w:eastAsia="宋体" w:cs="宋体"/>
          <w:smallCaps/>
          <w:color w:val="444444"/>
          <w:sz w:val="20"/>
          <w:szCs w:val="20"/>
          <w:lang w:eastAsia="zh-CN"/>
        </w:rPr>
      </w:pPr>
      <w:r>
        <w:rPr>
          <w:rFonts w:hint="eastAsia" w:ascii="宋体" w:hAnsi="宋体" w:eastAsia="宋体" w:cs="宋体"/>
          <w:smallCaps/>
          <w:color w:val="444444"/>
          <w:sz w:val="20"/>
          <w:szCs w:val="20"/>
          <w:lang w:val="en-US" w:eastAsia="zh-CN"/>
        </w:rPr>
        <w:t xml:space="preserve"> </w:t>
      </w:r>
      <w:r>
        <w:rPr>
          <w:rFonts w:hint="eastAsia" w:ascii="宋体" w:hAnsi="宋体" w:eastAsia="宋体" w:cs="宋体"/>
          <w:smallCaps/>
          <w:color w:val="444444"/>
          <w:sz w:val="20"/>
          <w:szCs w:val="20"/>
        </w:rPr>
        <w:t>采 购 人：</w:t>
      </w:r>
      <w:r>
        <w:rPr>
          <w:rFonts w:hint="eastAsia" w:ascii="宋体" w:hAnsi="宋体" w:eastAsia="宋体" w:cs="宋体"/>
          <w:smallCaps/>
          <w:color w:val="444444"/>
          <w:sz w:val="20"/>
          <w:szCs w:val="20"/>
          <w:lang w:eastAsia="zh-CN"/>
        </w:rPr>
        <w:t>郑州市教育局</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righ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lang w:val="en-US" w:eastAsia="zh-CN"/>
        </w:rPr>
        <w:t xml:space="preserve">                                           </w:t>
      </w:r>
      <w:r>
        <w:rPr>
          <w:rFonts w:hint="eastAsia" w:ascii="宋体" w:hAnsi="宋体" w:eastAsia="宋体" w:cs="宋体"/>
          <w:smallCaps/>
          <w:color w:val="444444"/>
          <w:sz w:val="20"/>
          <w:szCs w:val="20"/>
        </w:rPr>
        <w:t>代理机构：河南省伟信招标管理咨询有限公司</w:t>
      </w:r>
    </w:p>
    <w:p>
      <w:pPr>
        <w:pStyle w:val="3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4"/>
        <w:jc w:val="right"/>
        <w:textAlignment w:val="auto"/>
        <w:rPr>
          <w:rFonts w:hint="eastAsia" w:ascii="宋体" w:hAnsi="宋体" w:eastAsia="宋体" w:cs="宋体"/>
          <w:smallCaps/>
          <w:color w:val="444444"/>
          <w:sz w:val="20"/>
          <w:szCs w:val="20"/>
        </w:rPr>
      </w:pPr>
      <w:r>
        <w:rPr>
          <w:rFonts w:hint="eastAsia" w:ascii="宋体" w:hAnsi="宋体" w:eastAsia="宋体" w:cs="宋体"/>
          <w:smallCaps/>
          <w:color w:val="444444"/>
          <w:sz w:val="20"/>
          <w:szCs w:val="20"/>
          <w:lang w:val="en-US" w:eastAsia="zh-CN"/>
        </w:rPr>
        <w:t xml:space="preserve">                                  </w:t>
      </w:r>
      <w:r>
        <w:rPr>
          <w:rFonts w:hint="eastAsia" w:ascii="宋体" w:hAnsi="宋体" w:eastAsia="宋体" w:cs="宋体"/>
          <w:smallCaps/>
          <w:color w:val="444444"/>
          <w:sz w:val="20"/>
          <w:szCs w:val="20"/>
        </w:rPr>
        <w:t>二〇二〇年</w:t>
      </w:r>
      <w:r>
        <w:rPr>
          <w:rFonts w:hint="eastAsia" w:ascii="宋体" w:hAnsi="宋体" w:eastAsia="宋体" w:cs="宋体"/>
          <w:smallCaps/>
          <w:color w:val="444444"/>
          <w:sz w:val="20"/>
          <w:szCs w:val="20"/>
          <w:lang w:eastAsia="zh-CN"/>
        </w:rPr>
        <w:t>六</w:t>
      </w:r>
      <w:r>
        <w:rPr>
          <w:rFonts w:hint="eastAsia" w:ascii="宋体" w:hAnsi="宋体" w:eastAsia="宋体" w:cs="宋体"/>
          <w:smallCaps/>
          <w:color w:val="444444"/>
          <w:sz w:val="20"/>
          <w:szCs w:val="20"/>
        </w:rPr>
        <w:t>月</w:t>
      </w:r>
      <w:r>
        <w:rPr>
          <w:rFonts w:hint="eastAsia" w:ascii="宋体" w:hAnsi="宋体" w:eastAsia="宋体" w:cs="宋体"/>
          <w:smallCaps/>
          <w:color w:val="444444"/>
          <w:sz w:val="20"/>
          <w:szCs w:val="20"/>
          <w:lang w:val="en-US" w:eastAsia="zh-CN"/>
        </w:rPr>
        <w:t>九</w:t>
      </w:r>
      <w:r>
        <w:rPr>
          <w:rFonts w:hint="eastAsia" w:ascii="宋体" w:hAnsi="宋体" w:eastAsia="宋体" w:cs="宋体"/>
          <w:smallCaps/>
          <w:color w:val="444444"/>
          <w:sz w:val="20"/>
          <w:szCs w:val="20"/>
        </w:rPr>
        <w:t>日</w:t>
      </w:r>
    </w:p>
    <w:p>
      <w:pPr>
        <w:spacing w:line="360" w:lineRule="auto"/>
        <w:jc w:val="right"/>
        <w:rPr>
          <w:sz w:val="24"/>
        </w:rPr>
      </w:pPr>
    </w:p>
    <w:p>
      <w:pPr>
        <w:spacing w:line="360" w:lineRule="auto"/>
        <w:rPr>
          <w:sz w:val="24"/>
        </w:rPr>
      </w:pPr>
    </w:p>
    <w:p>
      <w:pPr>
        <w:spacing w:line="360" w:lineRule="auto"/>
        <w:rPr>
          <w:sz w:val="24"/>
        </w:rPr>
      </w:pPr>
    </w:p>
    <w:p>
      <w:pPr>
        <w:spacing w:line="360" w:lineRule="auto"/>
        <w:rPr>
          <w:sz w:val="24"/>
        </w:rPr>
      </w:pPr>
    </w:p>
    <w:p>
      <w:pPr>
        <w:widowControl/>
        <w:shd w:val="clear" w:color="auto" w:fill="FFFFFF"/>
        <w:spacing w:before="100" w:beforeAutospacing="1" w:after="100" w:afterAutospacing="1" w:line="270" w:lineRule="atLeast"/>
        <w:ind w:firstLine="480"/>
        <w:jc w:val="right"/>
        <w:rPr>
          <w:rFonts w:hint="eastAsia" w:ascii="宋体" w:hAnsi="宋体" w:cs="宋体"/>
          <w:color w:val="000000"/>
          <w:kern w:val="0"/>
          <w:sz w:val="18"/>
          <w:szCs w:val="18"/>
        </w:rPr>
      </w:pPr>
    </w:p>
    <w:p>
      <w:pPr>
        <w:widowControl/>
        <w:shd w:val="clear" w:color="auto" w:fill="FFFFFF"/>
        <w:spacing w:line="360" w:lineRule="auto"/>
        <w:ind w:firstLine="473"/>
        <w:jc w:val="right"/>
      </w:pPr>
    </w:p>
    <w:p>
      <w:pPr>
        <w:widowControl/>
        <w:shd w:val="clear" w:color="auto" w:fill="FFFFFF"/>
        <w:spacing w:before="100" w:beforeAutospacing="1" w:after="100" w:afterAutospacing="1" w:line="270" w:lineRule="atLeast"/>
        <w:ind w:firstLine="480"/>
        <w:jc w:val="right"/>
        <w:rPr>
          <w:rFonts w:hint="eastAsia" w:ascii="宋体" w:hAnsi="宋体" w:cs="宋体"/>
          <w:color w:val="000000"/>
          <w:kern w:val="0"/>
          <w:sz w:val="18"/>
          <w:szCs w:val="18"/>
        </w:rPr>
      </w:pPr>
    </w:p>
    <w:p>
      <w:pPr>
        <w:widowControl/>
        <w:shd w:val="clear" w:color="auto" w:fill="FFFFFF"/>
        <w:spacing w:line="360" w:lineRule="auto"/>
        <w:ind w:firstLine="473"/>
        <w:jc w:val="right"/>
        <w:rPr>
          <w:sz w:val="24"/>
        </w:rPr>
      </w:pPr>
    </w:p>
    <w:p>
      <w:pPr>
        <w:spacing w:line="360" w:lineRule="auto"/>
        <w:ind w:firstLine="480" w:firstLineChars="200"/>
        <w:jc w:val="left"/>
        <w:rPr>
          <w:rFonts w:ascii="宋体" w:hAnsi="宋体"/>
          <w:sz w:val="24"/>
        </w:rPr>
      </w:pPr>
    </w:p>
    <w:p>
      <w:pPr>
        <w:pStyle w:val="3"/>
        <w:spacing w:before="120" w:after="120" w:line="400" w:lineRule="exact"/>
        <w:jc w:val="center"/>
        <w:rPr>
          <w:rFonts w:ascii="宋体" w:hAnsi="宋体" w:cs="宋体"/>
          <w:sz w:val="32"/>
        </w:rPr>
      </w:pPr>
      <w:r>
        <w:rPr>
          <w:rFonts w:hint="eastAsia" w:ascii="宋体" w:hAnsi="宋体" w:cs="宋体"/>
          <w:sz w:val="32"/>
        </w:rPr>
        <w:br w:type="page"/>
      </w:r>
      <w:bookmarkStart w:id="9" w:name="_Toc22114893"/>
      <w:r>
        <w:rPr>
          <w:rFonts w:hint="eastAsia" w:ascii="宋体" w:hAnsi="宋体" w:cs="宋体"/>
          <w:bCs w:val="0"/>
          <w:sz w:val="32"/>
        </w:rPr>
        <w:t>第二章 供应商须知</w:t>
      </w:r>
      <w:bookmarkEnd w:id="6"/>
      <w:bookmarkEnd w:id="7"/>
      <w:bookmarkEnd w:id="8"/>
      <w:bookmarkEnd w:id="9"/>
    </w:p>
    <w:p>
      <w:pPr>
        <w:adjustRightInd w:val="0"/>
        <w:jc w:val="center"/>
        <w:textAlignment w:val="baseline"/>
        <w:rPr>
          <w:rFonts w:ascii="宋体" w:hAnsi="宋体" w:cs="宋体"/>
          <w:b/>
          <w:sz w:val="28"/>
          <w:szCs w:val="28"/>
        </w:rPr>
      </w:pPr>
      <w:bookmarkStart w:id="10" w:name="_Toc152042304"/>
      <w:bookmarkStart w:id="11" w:name="_Toc152045528"/>
      <w:bookmarkStart w:id="12" w:name="_Toc466298090"/>
      <w:bookmarkStart w:id="13" w:name="_Toc455080107"/>
      <w:bookmarkStart w:id="14" w:name="_Toc144974496"/>
      <w:r>
        <w:rPr>
          <w:rFonts w:hint="eastAsia" w:ascii="宋体" w:hAnsi="宋体" w:cs="宋体"/>
          <w:b/>
          <w:sz w:val="28"/>
          <w:szCs w:val="28"/>
        </w:rPr>
        <w:t>供应商须知前附表</w:t>
      </w:r>
      <w:bookmarkEnd w:id="10"/>
      <w:bookmarkEnd w:id="11"/>
      <w:bookmarkEnd w:id="12"/>
      <w:bookmarkEnd w:id="13"/>
      <w:bookmarkEnd w:id="14"/>
    </w:p>
    <w:tbl>
      <w:tblPr>
        <w:tblStyle w:val="39"/>
        <w:tblW w:w="8509" w:type="dxa"/>
        <w:tblInd w:w="-34" w:type="dxa"/>
        <w:tblLayout w:type="fixed"/>
        <w:tblCellMar>
          <w:top w:w="0" w:type="dxa"/>
          <w:left w:w="108" w:type="dxa"/>
          <w:bottom w:w="0" w:type="dxa"/>
          <w:right w:w="108" w:type="dxa"/>
        </w:tblCellMar>
      </w:tblPr>
      <w:tblGrid>
        <w:gridCol w:w="1135"/>
        <w:gridCol w:w="2325"/>
        <w:gridCol w:w="61"/>
        <w:gridCol w:w="4988"/>
      </w:tblGrid>
      <w:tr>
        <w:tblPrEx>
          <w:tblCellMar>
            <w:top w:w="0" w:type="dxa"/>
            <w:left w:w="108" w:type="dxa"/>
            <w:bottom w:w="0" w:type="dxa"/>
            <w:right w:w="108" w:type="dxa"/>
          </w:tblCellMar>
        </w:tblPrEx>
        <w:trPr>
          <w:trHeight w:val="397"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条款号</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条款名称</w:t>
            </w:r>
          </w:p>
        </w:tc>
        <w:tc>
          <w:tcPr>
            <w:tcW w:w="4988"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编  列  内  容</w:t>
            </w:r>
          </w:p>
        </w:tc>
      </w:tr>
      <w:tr>
        <w:tblPrEx>
          <w:tblCellMar>
            <w:top w:w="0" w:type="dxa"/>
            <w:left w:w="108" w:type="dxa"/>
            <w:bottom w:w="0" w:type="dxa"/>
            <w:right w:w="108" w:type="dxa"/>
          </w:tblCellMar>
        </w:tblPrEx>
        <w:trPr>
          <w:trHeight w:val="572"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1.2.1</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采购人</w:t>
            </w:r>
          </w:p>
        </w:tc>
        <w:tc>
          <w:tcPr>
            <w:tcW w:w="498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hint="eastAsia" w:ascii="宋体" w:hAnsi="宋体" w:eastAsia="宋体" w:cs="宋体"/>
                <w:szCs w:val="21"/>
                <w:lang w:eastAsia="zh-CN"/>
              </w:rPr>
            </w:pPr>
            <w:r>
              <w:rPr>
                <w:rFonts w:hint="eastAsia" w:ascii="宋体" w:hAnsi="宋体" w:cs="宋体"/>
                <w:szCs w:val="21"/>
              </w:rPr>
              <w:t>名  称：</w:t>
            </w:r>
            <w:r>
              <w:rPr>
                <w:rFonts w:hint="eastAsia" w:ascii="宋体" w:hAnsi="宋体" w:cs="宋体"/>
                <w:szCs w:val="21"/>
                <w:lang w:eastAsia="zh-CN"/>
              </w:rPr>
              <w:t>郑州市教育局</w:t>
            </w:r>
          </w:p>
          <w:p>
            <w:pPr>
              <w:adjustRightInd w:val="0"/>
              <w:textAlignment w:val="baseline"/>
              <w:rPr>
                <w:rFonts w:ascii="宋体" w:hAnsi="宋体" w:cs="宋体"/>
                <w:szCs w:val="21"/>
              </w:rPr>
            </w:pPr>
            <w:r>
              <w:rPr>
                <w:rFonts w:hint="eastAsia" w:ascii="宋体" w:hAnsi="宋体" w:cs="宋体"/>
                <w:szCs w:val="21"/>
              </w:rPr>
              <w:t>联系人：</w:t>
            </w:r>
            <w:r>
              <w:rPr>
                <w:rFonts w:hint="eastAsia" w:ascii="宋体" w:hAnsi="宋体" w:cs="宋体"/>
                <w:szCs w:val="21"/>
                <w:lang w:val="en-US" w:eastAsia="zh-CN"/>
              </w:rPr>
              <w:t>白</w:t>
            </w:r>
            <w:r>
              <w:rPr>
                <w:rFonts w:hint="eastAsia" w:ascii="宋体" w:hAnsi="宋体" w:cs="宋体"/>
                <w:szCs w:val="21"/>
              </w:rPr>
              <w:t>老师</w:t>
            </w:r>
          </w:p>
          <w:p>
            <w:pPr>
              <w:adjustRightInd w:val="0"/>
              <w:textAlignment w:val="baseline"/>
              <w:rPr>
                <w:rFonts w:hint="default" w:ascii="宋体" w:hAnsi="宋体" w:eastAsia="宋体" w:cs="宋体"/>
                <w:szCs w:val="21"/>
                <w:lang w:val="en-US" w:eastAsia="zh-CN"/>
              </w:rPr>
            </w:pPr>
            <w:r>
              <w:rPr>
                <w:rFonts w:hint="eastAsia" w:ascii="宋体" w:hAnsi="宋体" w:cs="宋体"/>
                <w:szCs w:val="21"/>
              </w:rPr>
              <w:t>电  话：</w:t>
            </w:r>
            <w:r>
              <w:rPr>
                <w:rFonts w:hint="eastAsia" w:ascii="宋体" w:hAnsi="宋体" w:cs="宋体"/>
                <w:szCs w:val="21"/>
                <w:lang w:val="en-US" w:eastAsia="zh-CN"/>
              </w:rPr>
              <w:t>0371-66961474</w:t>
            </w:r>
          </w:p>
          <w:p>
            <w:pPr>
              <w:adjustRightInd w:val="0"/>
              <w:textAlignment w:val="baseline"/>
              <w:rPr>
                <w:rFonts w:hint="eastAsia" w:ascii="宋体" w:hAnsi="宋体" w:eastAsia="宋体" w:cs="宋体"/>
                <w:szCs w:val="21"/>
                <w:lang w:eastAsia="zh-CN"/>
              </w:rPr>
            </w:pPr>
            <w:r>
              <w:rPr>
                <w:rFonts w:hint="eastAsia" w:ascii="宋体" w:hAnsi="宋体" w:cs="宋体"/>
                <w:szCs w:val="21"/>
              </w:rPr>
              <w:t>联系地址：</w:t>
            </w:r>
            <w:r>
              <w:rPr>
                <w:rFonts w:hint="eastAsia" w:ascii="宋体" w:hAnsi="宋体" w:cs="宋体"/>
                <w:szCs w:val="21"/>
                <w:lang w:eastAsia="zh-CN"/>
              </w:rPr>
              <w:t>郑州市中原区中原西路40号</w:t>
            </w:r>
          </w:p>
        </w:tc>
      </w:tr>
      <w:tr>
        <w:tblPrEx>
          <w:tblCellMar>
            <w:top w:w="0" w:type="dxa"/>
            <w:left w:w="108" w:type="dxa"/>
            <w:bottom w:w="0" w:type="dxa"/>
            <w:right w:w="108" w:type="dxa"/>
          </w:tblCellMar>
        </w:tblPrEx>
        <w:trPr>
          <w:trHeight w:val="1548"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1.2.2</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采购代理机构</w:t>
            </w:r>
          </w:p>
        </w:tc>
        <w:tc>
          <w:tcPr>
            <w:tcW w:w="49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代理机构名称：河南省伟信招标管理咨询有限公司</w:t>
            </w:r>
          </w:p>
          <w:p>
            <w:pPr>
              <w:jc w:val="left"/>
              <w:rPr>
                <w:rFonts w:ascii="宋体" w:hAnsi="宋体" w:cs="宋体"/>
                <w:szCs w:val="21"/>
              </w:rPr>
            </w:pPr>
            <w:r>
              <w:rPr>
                <w:rFonts w:hint="eastAsia" w:ascii="宋体" w:hAnsi="宋体" w:cs="宋体"/>
                <w:szCs w:val="21"/>
              </w:rPr>
              <w:t>联 系 人：</w:t>
            </w:r>
            <w:r>
              <w:rPr>
                <w:rFonts w:hint="eastAsia" w:ascii="宋体" w:hAnsi="宋体"/>
                <w:szCs w:val="21"/>
              </w:rPr>
              <w:t>李先生</w:t>
            </w:r>
          </w:p>
          <w:p>
            <w:pPr>
              <w:jc w:val="left"/>
              <w:rPr>
                <w:rFonts w:hint="eastAsia" w:ascii="宋体" w:hAnsi="宋体" w:cs="宋体"/>
                <w:szCs w:val="21"/>
              </w:rPr>
            </w:pPr>
            <w:r>
              <w:rPr>
                <w:rFonts w:hint="eastAsia" w:ascii="宋体" w:hAnsi="宋体" w:cs="宋体"/>
                <w:szCs w:val="21"/>
              </w:rPr>
              <w:t>电    话：0371-65359921 18738118232</w:t>
            </w:r>
          </w:p>
          <w:p>
            <w:pPr>
              <w:jc w:val="left"/>
              <w:rPr>
                <w:rFonts w:ascii="宋体" w:hAnsi="宋体" w:cs="宋体"/>
                <w:szCs w:val="21"/>
              </w:rPr>
            </w:pPr>
            <w:r>
              <w:rPr>
                <w:rFonts w:hint="eastAsia" w:ascii="宋体" w:hAnsi="宋体" w:cs="宋体"/>
                <w:szCs w:val="21"/>
              </w:rPr>
              <w:t>地    址：河南省郑州市郑东新区东风南路</w:t>
            </w:r>
            <w:r>
              <w:rPr>
                <w:rFonts w:hint="eastAsia" w:ascii="宋体" w:hAnsi="宋体" w:cs="宋体"/>
                <w:szCs w:val="21"/>
                <w:lang w:val="en-US" w:eastAsia="zh-CN"/>
              </w:rPr>
              <w:t>6号</w:t>
            </w:r>
            <w:r>
              <w:rPr>
                <w:rFonts w:hint="eastAsia" w:ascii="宋体" w:hAnsi="宋体" w:cs="宋体"/>
                <w:szCs w:val="21"/>
              </w:rPr>
              <w:t>绿地中心北塔16楼</w:t>
            </w:r>
          </w:p>
        </w:tc>
      </w:tr>
      <w:tr>
        <w:tblPrEx>
          <w:tblCellMar>
            <w:top w:w="0" w:type="dxa"/>
            <w:left w:w="108" w:type="dxa"/>
            <w:bottom w:w="0" w:type="dxa"/>
            <w:right w:w="108" w:type="dxa"/>
          </w:tblCellMar>
        </w:tblPrEx>
        <w:trPr>
          <w:trHeight w:val="644"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1.2.3</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项目名称</w:t>
            </w:r>
          </w:p>
        </w:tc>
        <w:tc>
          <w:tcPr>
            <w:tcW w:w="49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lang w:eastAsia="zh-CN"/>
              </w:rPr>
            </w:pPr>
            <w:r>
              <w:rPr>
                <w:rFonts w:hint="eastAsia" w:ascii="宋体" w:hAnsi="宋体" w:cs="宋体"/>
                <w:szCs w:val="21"/>
                <w:lang w:eastAsia="zh-CN"/>
              </w:rPr>
              <w:t>郑州市教育局郑州美育微信公众号全年运营服务项目</w:t>
            </w:r>
          </w:p>
        </w:tc>
      </w:tr>
      <w:tr>
        <w:tblPrEx>
          <w:tblCellMar>
            <w:top w:w="0" w:type="dxa"/>
            <w:left w:w="108" w:type="dxa"/>
            <w:bottom w:w="0" w:type="dxa"/>
            <w:right w:w="108" w:type="dxa"/>
          </w:tblCellMar>
        </w:tblPrEx>
        <w:trPr>
          <w:trHeight w:val="722"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1.4.1</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磋商内容</w:t>
            </w:r>
          </w:p>
        </w:tc>
        <w:tc>
          <w:tcPr>
            <w:tcW w:w="498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Cs w:val="21"/>
                <w:lang w:eastAsia="zh-CN"/>
              </w:rPr>
            </w:pPr>
            <w:r>
              <w:rPr>
                <w:rFonts w:hint="eastAsia" w:ascii="宋体" w:hAnsi="宋体" w:cs="宋体"/>
                <w:szCs w:val="21"/>
                <w:lang w:eastAsia="zh-CN"/>
              </w:rPr>
              <w:t>郑州市教育局郑州美育微信公众号全年运营服务项目</w:t>
            </w:r>
          </w:p>
        </w:tc>
      </w:tr>
      <w:tr>
        <w:tblPrEx>
          <w:tblCellMar>
            <w:top w:w="0" w:type="dxa"/>
            <w:left w:w="108" w:type="dxa"/>
            <w:bottom w:w="0" w:type="dxa"/>
            <w:right w:w="108" w:type="dxa"/>
          </w:tblCellMar>
        </w:tblPrEx>
        <w:trPr>
          <w:trHeight w:val="678"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1.4.2</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szCs w:val="21"/>
                <w:lang w:eastAsia="zh-CN"/>
              </w:rPr>
              <w:t>服务期限</w:t>
            </w:r>
          </w:p>
        </w:tc>
        <w:tc>
          <w:tcPr>
            <w:tcW w:w="4988"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szCs w:val="21"/>
                <w:lang w:val="en-US" w:eastAsia="zh-CN"/>
              </w:rPr>
            </w:pPr>
            <w:r>
              <w:rPr>
                <w:rFonts w:hint="eastAsia" w:ascii="宋体" w:hAnsi="宋体" w:cs="宋体"/>
                <w:szCs w:val="21"/>
                <w:lang w:val="en-US" w:eastAsia="zh-CN"/>
              </w:rPr>
              <w:t>一年</w:t>
            </w:r>
          </w:p>
        </w:tc>
      </w:tr>
      <w:tr>
        <w:tblPrEx>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1.5.1</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供应商资质条件和能力</w:t>
            </w:r>
          </w:p>
        </w:tc>
        <w:tc>
          <w:tcPr>
            <w:tcW w:w="498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cs="宋体"/>
                <w:szCs w:val="21"/>
              </w:rPr>
            </w:pPr>
            <w:r>
              <w:rPr>
                <w:rFonts w:hint="eastAsia" w:ascii="宋体" w:hAnsi="宋体" w:cs="宋体"/>
                <w:szCs w:val="21"/>
              </w:rPr>
              <w:t>1、参加报名的供应商须符合《中华人民共和国政府采购法》第二十二条规定：</w:t>
            </w:r>
          </w:p>
          <w:p>
            <w:pPr>
              <w:adjustRightInd w:val="0"/>
              <w:textAlignment w:val="baseline"/>
              <w:rPr>
                <w:rFonts w:ascii="宋体" w:hAnsi="宋体" w:cs="宋体"/>
                <w:szCs w:val="21"/>
              </w:rPr>
            </w:pPr>
            <w:r>
              <w:rPr>
                <w:rFonts w:hint="eastAsia" w:ascii="宋体" w:hAnsi="宋体" w:cs="宋体"/>
                <w:szCs w:val="21"/>
              </w:rPr>
              <w:t>（1）具有独立承担民事责任的能力；</w:t>
            </w:r>
          </w:p>
          <w:p>
            <w:pPr>
              <w:adjustRightInd w:val="0"/>
              <w:textAlignment w:val="baseline"/>
              <w:rPr>
                <w:rFonts w:ascii="宋体" w:hAnsi="宋体" w:cs="宋体"/>
                <w:szCs w:val="21"/>
              </w:rPr>
            </w:pPr>
            <w:r>
              <w:rPr>
                <w:rFonts w:hint="eastAsia" w:ascii="宋体" w:hAnsi="宋体" w:cs="宋体"/>
                <w:szCs w:val="21"/>
              </w:rPr>
              <w:t>（2）具有良好的商业信誉和健全的财务会计制度；</w:t>
            </w:r>
          </w:p>
          <w:p>
            <w:pPr>
              <w:adjustRightInd w:val="0"/>
              <w:textAlignment w:val="baseline"/>
              <w:rPr>
                <w:rFonts w:ascii="宋体" w:hAnsi="宋体" w:cs="宋体"/>
                <w:szCs w:val="21"/>
              </w:rPr>
            </w:pPr>
            <w:r>
              <w:rPr>
                <w:rFonts w:hint="eastAsia" w:ascii="宋体" w:hAnsi="宋体" w:cs="宋体"/>
                <w:szCs w:val="21"/>
              </w:rPr>
              <w:t>（3）具有履行合同所必需的设备和专业技术能力；</w:t>
            </w:r>
          </w:p>
          <w:p>
            <w:pPr>
              <w:adjustRightInd w:val="0"/>
              <w:textAlignment w:val="baseline"/>
              <w:rPr>
                <w:rFonts w:ascii="宋体" w:hAnsi="宋体" w:cs="宋体"/>
                <w:szCs w:val="21"/>
              </w:rPr>
            </w:pPr>
            <w:r>
              <w:rPr>
                <w:rFonts w:hint="eastAsia" w:ascii="宋体" w:hAnsi="宋体" w:cs="宋体"/>
                <w:szCs w:val="21"/>
              </w:rPr>
              <w:t>（4）有依法缴纳税收和社会保障资金的良好记录；</w:t>
            </w:r>
          </w:p>
          <w:p>
            <w:pPr>
              <w:adjustRightInd w:val="0"/>
              <w:textAlignment w:val="baseline"/>
              <w:rPr>
                <w:rFonts w:ascii="宋体" w:hAnsi="宋体" w:cs="宋体"/>
                <w:szCs w:val="21"/>
              </w:rPr>
            </w:pPr>
            <w:r>
              <w:rPr>
                <w:rFonts w:hint="eastAsia" w:ascii="宋体" w:hAnsi="宋体" w:cs="宋体"/>
                <w:szCs w:val="21"/>
              </w:rPr>
              <w:t>（5）参加政府采购活动前三年内，在经营活动中没有重大违法记录；</w:t>
            </w:r>
          </w:p>
          <w:p>
            <w:pPr>
              <w:adjustRightInd w:val="0"/>
              <w:textAlignment w:val="baseline"/>
              <w:rPr>
                <w:rFonts w:ascii="宋体" w:hAnsi="宋体" w:cs="宋体"/>
                <w:szCs w:val="21"/>
              </w:rPr>
            </w:pPr>
            <w:r>
              <w:rPr>
                <w:rFonts w:hint="eastAsia" w:ascii="宋体" w:hAnsi="宋体" w:cs="宋体"/>
                <w:szCs w:val="21"/>
              </w:rPr>
              <w:t>（6）法律、行政法规规定的其他条件。</w:t>
            </w:r>
          </w:p>
          <w:p>
            <w:pPr>
              <w:adjustRightInd w:val="0"/>
              <w:jc w:val="left"/>
              <w:textAlignment w:val="baseline"/>
              <w:rPr>
                <w:rFonts w:ascii="宋体" w:hAnsi="宋体" w:cs="宋体"/>
                <w:szCs w:val="21"/>
              </w:rPr>
            </w:pPr>
            <w:r>
              <w:rPr>
                <w:rFonts w:hint="eastAsia" w:ascii="宋体" w:hAnsi="宋体" w:cs="宋体"/>
                <w:szCs w:val="21"/>
              </w:rPr>
              <w:t>2、根据财库[2016]125号文的规定,凡列入失信被执行人、重大税收违法案件当事人名单、政府采购严重违法失信行为记录名单及其他不符合《中华人民共和国政府采购法》第二十二条规定条件的潜在供应商禁止投标（在 “信用中国”网站中查询“失信被执行人”和 “重大税收违法案件当事人名单”（http://www.creditchina.gov.cn/），在“中国政府采购网”网站中查询“政府采购严重违法失信行为记录名单” （www.ccgp.gov.cn）的查询结果网页打印件并加盖公章），信用信息查询的时间期限为磋商公告发布之日后投标截止之日前；</w:t>
            </w:r>
          </w:p>
          <w:p>
            <w:pPr>
              <w:adjustRightInd w:val="0"/>
              <w:jc w:val="left"/>
              <w:textAlignment w:val="baseline"/>
              <w:rPr>
                <w:rFonts w:ascii="宋体" w:hAnsi="宋体" w:cs="宋体"/>
                <w:szCs w:val="21"/>
              </w:rPr>
            </w:pPr>
            <w:r>
              <w:rPr>
                <w:rFonts w:hint="eastAsia" w:ascii="宋体" w:hAnsi="宋体" w:cs="宋体"/>
                <w:szCs w:val="21"/>
              </w:rPr>
              <w:t>3、单位负责人为同一人或者存在控股、管理关系的不同单位，不得同时参加本项目的投标；</w:t>
            </w:r>
          </w:p>
          <w:p>
            <w:pPr>
              <w:adjustRightInd w:val="0"/>
              <w:jc w:val="left"/>
              <w:textAlignment w:val="baseline"/>
              <w:rPr>
                <w:rFonts w:ascii="宋体" w:hAnsi="宋体" w:cs="宋体"/>
                <w:szCs w:val="21"/>
              </w:rPr>
            </w:pPr>
            <w:r>
              <w:rPr>
                <w:rFonts w:hint="eastAsia" w:ascii="宋体" w:hAnsi="宋体" w:cs="宋体"/>
                <w:szCs w:val="21"/>
              </w:rPr>
              <w:t>4、本次采购亦不允许联合体参与磋商，与采购人、采购人就本次磋商的货物委托的咨询机构、代理机构、以及上述机构的附属机构没有行政或经济关联；</w:t>
            </w:r>
          </w:p>
          <w:p>
            <w:pPr>
              <w:adjustRightInd w:val="0"/>
              <w:jc w:val="left"/>
              <w:textAlignment w:val="baseline"/>
              <w:rPr>
                <w:rFonts w:ascii="宋体" w:hAnsi="宋体" w:cs="宋体"/>
                <w:szCs w:val="21"/>
              </w:rPr>
            </w:pPr>
            <w:r>
              <w:rPr>
                <w:rFonts w:hint="eastAsia" w:ascii="宋体" w:hAnsi="宋体" w:cs="宋体"/>
                <w:szCs w:val="21"/>
              </w:rPr>
              <w:t>5、法律、行政法规规定的其他条件。</w:t>
            </w:r>
          </w:p>
        </w:tc>
      </w:tr>
      <w:tr>
        <w:tblPrEx>
          <w:tblCellMar>
            <w:top w:w="0" w:type="dxa"/>
            <w:left w:w="108" w:type="dxa"/>
            <w:bottom w:w="0" w:type="dxa"/>
            <w:right w:w="108" w:type="dxa"/>
          </w:tblCellMar>
        </w:tblPrEx>
        <w:trPr>
          <w:trHeight w:val="397"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1.5.2</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是否接受联合体投标</w:t>
            </w:r>
          </w:p>
        </w:tc>
        <w:tc>
          <w:tcPr>
            <w:tcW w:w="4988" w:type="dxa"/>
            <w:tcBorders>
              <w:top w:val="single" w:color="auto" w:sz="4" w:space="0"/>
              <w:left w:val="single" w:color="auto" w:sz="4" w:space="0"/>
              <w:bottom w:val="single" w:color="auto" w:sz="4" w:space="0"/>
              <w:right w:val="single" w:color="auto" w:sz="4" w:space="0"/>
            </w:tcBorders>
            <w:vAlign w:val="center"/>
          </w:tcPr>
          <w:p>
            <w:pPr>
              <w:pStyle w:val="16"/>
              <w:topLinePunct/>
              <w:adjustRightInd w:val="0"/>
              <w:textAlignment w:val="baseline"/>
              <w:rPr>
                <w:rFonts w:ascii="宋体" w:hAnsi="宋体" w:cs="宋体"/>
                <w:kern w:val="2"/>
                <w:sz w:val="21"/>
                <w:szCs w:val="21"/>
              </w:rPr>
            </w:pPr>
            <w:r>
              <w:rPr>
                <w:rFonts w:hint="eastAsia" w:ascii="宋体" w:hAnsi="宋体" w:cs="宋体"/>
                <w:kern w:val="2"/>
                <w:sz w:val="21"/>
                <w:szCs w:val="21"/>
              </w:rPr>
              <w:t>不接受</w:t>
            </w:r>
          </w:p>
        </w:tc>
      </w:tr>
      <w:tr>
        <w:tblPrEx>
          <w:tblCellMar>
            <w:top w:w="0" w:type="dxa"/>
            <w:left w:w="108" w:type="dxa"/>
            <w:bottom w:w="0" w:type="dxa"/>
            <w:right w:w="108" w:type="dxa"/>
          </w:tblCellMar>
        </w:tblPrEx>
        <w:trPr>
          <w:trHeight w:val="567"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1.10.1</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现场说明和探勘</w:t>
            </w:r>
          </w:p>
        </w:tc>
        <w:tc>
          <w:tcPr>
            <w:tcW w:w="4988" w:type="dxa"/>
            <w:tcBorders>
              <w:top w:val="single" w:color="auto" w:sz="4" w:space="0"/>
              <w:left w:val="single" w:color="auto" w:sz="4" w:space="0"/>
              <w:bottom w:val="single" w:color="auto" w:sz="4" w:space="0"/>
              <w:right w:val="single" w:color="auto" w:sz="4" w:space="0"/>
            </w:tcBorders>
            <w:vAlign w:val="center"/>
          </w:tcPr>
          <w:p>
            <w:pPr>
              <w:pStyle w:val="16"/>
              <w:topLinePunct/>
              <w:adjustRightInd w:val="0"/>
              <w:textAlignment w:val="baseline"/>
              <w:rPr>
                <w:rFonts w:ascii="宋体" w:hAnsi="宋体" w:cs="宋体"/>
                <w:kern w:val="2"/>
                <w:sz w:val="21"/>
                <w:szCs w:val="21"/>
              </w:rPr>
            </w:pPr>
            <w:r>
              <w:rPr>
                <w:rFonts w:hint="eastAsia" w:ascii="宋体" w:hAnsi="宋体" w:cs="宋体"/>
                <w:kern w:val="2"/>
                <w:sz w:val="21"/>
                <w:szCs w:val="21"/>
              </w:rPr>
              <w:t>不召开</w:t>
            </w:r>
          </w:p>
        </w:tc>
      </w:tr>
      <w:tr>
        <w:tblPrEx>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1.10.2</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供应商提出问题的截止时间</w:t>
            </w:r>
          </w:p>
        </w:tc>
        <w:tc>
          <w:tcPr>
            <w:tcW w:w="498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cs="宋体"/>
                <w:szCs w:val="21"/>
              </w:rPr>
            </w:pPr>
            <w:r>
              <w:rPr>
                <w:rFonts w:hint="eastAsia" w:ascii="宋体" w:hAnsi="宋体" w:cs="宋体"/>
                <w:szCs w:val="21"/>
              </w:rPr>
              <w:t>递交响应文件截止之日</w:t>
            </w:r>
            <w:r>
              <w:rPr>
                <w:rFonts w:hint="eastAsia" w:ascii="宋体" w:hAnsi="宋体" w:cs="宋体"/>
                <w:szCs w:val="21"/>
                <w:u w:val="single"/>
                <w:lang w:val="en-US" w:eastAsia="zh-CN"/>
              </w:rPr>
              <w:t>5</w:t>
            </w:r>
            <w:r>
              <w:rPr>
                <w:rFonts w:hint="eastAsia" w:ascii="宋体" w:hAnsi="宋体" w:cs="宋体"/>
                <w:szCs w:val="21"/>
              </w:rPr>
              <w:t>天前</w:t>
            </w:r>
          </w:p>
        </w:tc>
      </w:tr>
      <w:tr>
        <w:tblPrEx>
          <w:tblCellMar>
            <w:top w:w="0" w:type="dxa"/>
            <w:left w:w="108" w:type="dxa"/>
            <w:bottom w:w="0" w:type="dxa"/>
            <w:right w:w="108" w:type="dxa"/>
          </w:tblCellMar>
        </w:tblPrEx>
        <w:trPr>
          <w:trHeight w:val="567"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1.10.3</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采购人书面澄清的时间</w:t>
            </w:r>
          </w:p>
        </w:tc>
        <w:tc>
          <w:tcPr>
            <w:tcW w:w="498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cs="宋体"/>
                <w:szCs w:val="21"/>
              </w:rPr>
            </w:pPr>
            <w:r>
              <w:rPr>
                <w:rFonts w:hint="eastAsia" w:ascii="宋体" w:hAnsi="宋体" w:cs="宋体"/>
                <w:szCs w:val="21"/>
              </w:rPr>
              <w:t>递交响应文件截止之日</w:t>
            </w:r>
            <w:r>
              <w:rPr>
                <w:rFonts w:hint="eastAsia" w:ascii="宋体" w:hAnsi="宋体" w:cs="宋体"/>
                <w:szCs w:val="21"/>
                <w:u w:val="single"/>
                <w:lang w:val="en-US" w:eastAsia="zh-CN"/>
              </w:rPr>
              <w:t>3</w:t>
            </w:r>
            <w:r>
              <w:rPr>
                <w:rFonts w:hint="eastAsia" w:ascii="宋体" w:hAnsi="宋体" w:cs="宋体"/>
                <w:szCs w:val="21"/>
              </w:rPr>
              <w:t>天前</w:t>
            </w:r>
          </w:p>
        </w:tc>
      </w:tr>
      <w:tr>
        <w:tblPrEx>
          <w:tblCellMar>
            <w:top w:w="0" w:type="dxa"/>
            <w:left w:w="108" w:type="dxa"/>
            <w:bottom w:w="0" w:type="dxa"/>
            <w:right w:w="108" w:type="dxa"/>
          </w:tblCellMar>
        </w:tblPrEx>
        <w:trPr>
          <w:trHeight w:val="564"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1.11</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分包</w:t>
            </w:r>
          </w:p>
        </w:tc>
        <w:tc>
          <w:tcPr>
            <w:tcW w:w="4988" w:type="dxa"/>
            <w:tcBorders>
              <w:top w:val="single" w:color="auto" w:sz="4" w:space="0"/>
              <w:left w:val="single" w:color="auto" w:sz="4" w:space="0"/>
              <w:bottom w:val="single" w:color="auto" w:sz="4" w:space="0"/>
              <w:right w:val="single" w:color="auto" w:sz="4" w:space="0"/>
            </w:tcBorders>
            <w:vAlign w:val="center"/>
          </w:tcPr>
          <w:p>
            <w:pPr>
              <w:pStyle w:val="16"/>
              <w:topLinePunct/>
              <w:adjustRightInd w:val="0"/>
              <w:textAlignment w:val="baseline"/>
              <w:rPr>
                <w:rFonts w:ascii="宋体" w:hAnsi="宋体" w:cs="宋体"/>
                <w:kern w:val="2"/>
                <w:sz w:val="21"/>
                <w:szCs w:val="21"/>
              </w:rPr>
            </w:pPr>
            <w:r>
              <w:rPr>
                <w:rFonts w:hint="eastAsia" w:ascii="宋体" w:hAnsi="宋体" w:cs="宋体"/>
                <w:kern w:val="2"/>
                <w:sz w:val="21"/>
                <w:szCs w:val="21"/>
              </w:rPr>
              <w:t>不允许</w:t>
            </w:r>
          </w:p>
        </w:tc>
      </w:tr>
      <w:tr>
        <w:tblPrEx>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2.1</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构成磋商文件的其他材料</w:t>
            </w:r>
          </w:p>
        </w:tc>
        <w:tc>
          <w:tcPr>
            <w:tcW w:w="498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cs="宋体"/>
                <w:szCs w:val="21"/>
              </w:rPr>
            </w:pPr>
            <w:r>
              <w:rPr>
                <w:rFonts w:hint="eastAsia" w:ascii="宋体" w:hAnsi="宋体" w:cs="宋体"/>
                <w:szCs w:val="21"/>
              </w:rPr>
              <w:t>除磋商文件外，采购人在磋商期间发出的澄清、修改、补充、补遗和其他有效正式函件等内容均是磋商文件的组成部分</w:t>
            </w:r>
          </w:p>
        </w:tc>
      </w:tr>
      <w:tr>
        <w:tblPrEx>
          <w:tblCellMar>
            <w:top w:w="0" w:type="dxa"/>
            <w:left w:w="108" w:type="dxa"/>
            <w:bottom w:w="0" w:type="dxa"/>
            <w:right w:w="108" w:type="dxa"/>
          </w:tblCellMar>
        </w:tblPrEx>
        <w:trPr>
          <w:trHeight w:val="90"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2.2.1</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供应商要求澄清磋商文件的截止时间</w:t>
            </w:r>
          </w:p>
        </w:tc>
        <w:tc>
          <w:tcPr>
            <w:tcW w:w="498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cs="宋体"/>
                <w:szCs w:val="21"/>
              </w:rPr>
            </w:pPr>
            <w:r>
              <w:rPr>
                <w:rFonts w:hint="eastAsia" w:ascii="宋体" w:hAnsi="宋体" w:cs="宋体"/>
                <w:szCs w:val="21"/>
              </w:rPr>
              <w:t>递交响应文件截止之日</w:t>
            </w:r>
            <w:r>
              <w:rPr>
                <w:rFonts w:hint="eastAsia" w:ascii="宋体" w:hAnsi="宋体" w:cs="宋体"/>
                <w:szCs w:val="21"/>
                <w:u w:val="single"/>
              </w:rPr>
              <w:t>7</w:t>
            </w:r>
            <w:r>
              <w:rPr>
                <w:rFonts w:hint="eastAsia" w:ascii="宋体" w:hAnsi="宋体" w:cs="宋体"/>
                <w:szCs w:val="21"/>
              </w:rPr>
              <w:t>天前</w:t>
            </w:r>
          </w:p>
        </w:tc>
      </w:tr>
      <w:tr>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2.2.2</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提交响应文件截止时间</w:t>
            </w:r>
          </w:p>
        </w:tc>
        <w:tc>
          <w:tcPr>
            <w:tcW w:w="498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cs="宋体"/>
                <w:szCs w:val="21"/>
              </w:rPr>
            </w:pPr>
            <w:r>
              <w:rPr>
                <w:rFonts w:hint="eastAsia" w:ascii="宋体" w:hAnsi="宋体" w:cs="宋体"/>
                <w:b/>
                <w:bCs/>
                <w:szCs w:val="21"/>
                <w:u w:val="single"/>
              </w:rPr>
              <w:t>20</w:t>
            </w:r>
            <w:r>
              <w:rPr>
                <w:rFonts w:hint="eastAsia" w:ascii="宋体" w:hAnsi="宋体" w:cs="宋体"/>
                <w:b/>
                <w:bCs/>
                <w:szCs w:val="21"/>
                <w:u w:val="single"/>
                <w:lang w:val="en-US" w:eastAsia="zh-CN"/>
              </w:rPr>
              <w:t>20</w:t>
            </w:r>
            <w:r>
              <w:rPr>
                <w:rFonts w:hint="eastAsia" w:ascii="宋体" w:hAnsi="宋体" w:cs="宋体"/>
                <w:b/>
                <w:bCs/>
                <w:szCs w:val="21"/>
                <w:u w:val="single"/>
              </w:rPr>
              <w:t xml:space="preserve"> </w:t>
            </w:r>
            <w:r>
              <w:rPr>
                <w:rFonts w:hint="eastAsia" w:ascii="宋体" w:hAnsi="宋体" w:cs="宋体"/>
                <w:b/>
                <w:bCs/>
                <w:szCs w:val="21"/>
              </w:rPr>
              <w:t>年</w:t>
            </w:r>
            <w:r>
              <w:rPr>
                <w:rFonts w:hint="eastAsia" w:ascii="宋体" w:hAnsi="宋体" w:cs="宋体"/>
                <w:b/>
                <w:bCs/>
                <w:szCs w:val="21"/>
                <w:u w:val="single"/>
                <w:lang w:val="en-US" w:eastAsia="zh-CN"/>
              </w:rPr>
              <w:t>6</w:t>
            </w:r>
            <w:r>
              <w:rPr>
                <w:rFonts w:hint="eastAsia" w:ascii="宋体" w:hAnsi="宋体" w:cs="宋体"/>
                <w:b/>
                <w:bCs/>
                <w:szCs w:val="21"/>
              </w:rPr>
              <w:t>月</w:t>
            </w:r>
            <w:r>
              <w:rPr>
                <w:rFonts w:hint="eastAsia" w:ascii="宋体" w:hAnsi="宋体" w:cs="宋体"/>
                <w:b/>
                <w:bCs/>
                <w:szCs w:val="21"/>
                <w:u w:val="single"/>
                <w:lang w:val="en-US" w:eastAsia="zh-CN"/>
              </w:rPr>
              <w:t>22</w:t>
            </w:r>
            <w:r>
              <w:rPr>
                <w:rFonts w:hint="eastAsia" w:ascii="宋体" w:hAnsi="宋体" w:cs="宋体"/>
                <w:b/>
                <w:bCs/>
                <w:szCs w:val="21"/>
              </w:rPr>
              <w:t>日</w:t>
            </w:r>
            <w:r>
              <w:rPr>
                <w:rFonts w:hint="eastAsia" w:ascii="宋体" w:hAnsi="宋体" w:cs="宋体"/>
                <w:b/>
                <w:bCs/>
                <w:szCs w:val="21"/>
                <w:u w:val="single"/>
              </w:rPr>
              <w:t xml:space="preserve"> </w:t>
            </w:r>
            <w:r>
              <w:rPr>
                <w:rFonts w:hint="eastAsia" w:ascii="宋体" w:hAnsi="宋体" w:cs="宋体"/>
                <w:b/>
                <w:bCs/>
                <w:szCs w:val="21"/>
                <w:u w:val="single"/>
                <w:lang w:val="en-US" w:eastAsia="zh-CN"/>
              </w:rPr>
              <w:t>15</w:t>
            </w:r>
            <w:r>
              <w:rPr>
                <w:rFonts w:hint="eastAsia" w:ascii="宋体" w:hAnsi="宋体" w:cs="宋体"/>
                <w:b/>
                <w:bCs/>
                <w:szCs w:val="21"/>
              </w:rPr>
              <w:t>时</w:t>
            </w:r>
            <w:r>
              <w:rPr>
                <w:rFonts w:hint="eastAsia" w:ascii="宋体" w:hAnsi="宋体" w:cs="宋体"/>
                <w:b/>
                <w:bCs/>
                <w:szCs w:val="21"/>
                <w:u w:val="single"/>
                <w:lang w:val="en-US" w:eastAsia="zh-CN"/>
              </w:rPr>
              <w:t>0</w:t>
            </w:r>
            <w:r>
              <w:rPr>
                <w:rFonts w:hint="eastAsia" w:ascii="宋体" w:hAnsi="宋体" w:cs="宋体"/>
                <w:b/>
                <w:bCs/>
                <w:szCs w:val="21"/>
                <w:u w:val="single"/>
              </w:rPr>
              <w:t>0</w:t>
            </w:r>
            <w:r>
              <w:rPr>
                <w:rFonts w:hint="eastAsia" w:ascii="宋体" w:hAnsi="宋体" w:cs="宋体"/>
                <w:b/>
                <w:bCs/>
                <w:szCs w:val="21"/>
              </w:rPr>
              <w:t>分</w:t>
            </w:r>
          </w:p>
        </w:tc>
      </w:tr>
      <w:tr>
        <w:tblPrEx>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2.2.3</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供应商确认收到磋商文件澄清的时间</w:t>
            </w:r>
          </w:p>
        </w:tc>
        <w:tc>
          <w:tcPr>
            <w:tcW w:w="498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cs="宋体"/>
                <w:szCs w:val="21"/>
              </w:rPr>
            </w:pPr>
            <w:r>
              <w:rPr>
                <w:rFonts w:hint="eastAsia" w:ascii="宋体" w:hAnsi="宋体" w:cs="宋体"/>
                <w:szCs w:val="21"/>
              </w:rPr>
              <w:t>在收到相应澄清文件后</w:t>
            </w:r>
            <w:r>
              <w:rPr>
                <w:rFonts w:hint="eastAsia" w:ascii="宋体" w:hAnsi="宋体" w:cs="宋体"/>
                <w:szCs w:val="21"/>
                <w:u w:val="single"/>
              </w:rPr>
              <w:t xml:space="preserve"> 24 </w:t>
            </w:r>
            <w:r>
              <w:rPr>
                <w:rFonts w:hint="eastAsia" w:ascii="宋体" w:hAnsi="宋体" w:cs="宋体"/>
                <w:szCs w:val="21"/>
              </w:rPr>
              <w:t>小时内</w:t>
            </w:r>
          </w:p>
        </w:tc>
      </w:tr>
      <w:tr>
        <w:tblPrEx>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2.3.2</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供应商确认收到磋商文件修改的时间</w:t>
            </w:r>
          </w:p>
        </w:tc>
        <w:tc>
          <w:tcPr>
            <w:tcW w:w="498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cs="宋体"/>
                <w:szCs w:val="21"/>
              </w:rPr>
            </w:pPr>
            <w:r>
              <w:rPr>
                <w:rFonts w:hint="eastAsia" w:ascii="宋体" w:hAnsi="宋体" w:cs="宋体"/>
                <w:szCs w:val="21"/>
              </w:rPr>
              <w:t>在收到相应修改文件后</w:t>
            </w:r>
            <w:r>
              <w:rPr>
                <w:rFonts w:hint="eastAsia" w:ascii="宋体" w:hAnsi="宋体" w:cs="宋体"/>
                <w:szCs w:val="21"/>
                <w:u w:val="single"/>
              </w:rPr>
              <w:t xml:space="preserve"> 24 </w:t>
            </w:r>
            <w:r>
              <w:rPr>
                <w:rFonts w:hint="eastAsia" w:ascii="宋体" w:hAnsi="宋体" w:cs="宋体"/>
                <w:szCs w:val="21"/>
              </w:rPr>
              <w:t>小时内</w:t>
            </w:r>
          </w:p>
        </w:tc>
      </w:tr>
      <w:tr>
        <w:tblPrEx>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3.1.1</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构成响应文件的其他材料</w:t>
            </w:r>
          </w:p>
        </w:tc>
        <w:tc>
          <w:tcPr>
            <w:tcW w:w="49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供应商认为需要提交的其他证明材料</w:t>
            </w:r>
          </w:p>
        </w:tc>
      </w:tr>
      <w:tr>
        <w:tblPrEx>
          <w:tblCellMar>
            <w:top w:w="0" w:type="dxa"/>
            <w:left w:w="108" w:type="dxa"/>
            <w:bottom w:w="0" w:type="dxa"/>
            <w:right w:w="108" w:type="dxa"/>
          </w:tblCellMar>
        </w:tblPrEx>
        <w:trPr>
          <w:trHeight w:val="397"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3.3.1</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磋商有效期</w:t>
            </w:r>
          </w:p>
        </w:tc>
        <w:tc>
          <w:tcPr>
            <w:tcW w:w="49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60日历天（响应文件截止之日起）</w:t>
            </w:r>
          </w:p>
        </w:tc>
      </w:tr>
      <w:tr>
        <w:tblPrEx>
          <w:tblCellMar>
            <w:top w:w="0" w:type="dxa"/>
            <w:left w:w="108" w:type="dxa"/>
            <w:bottom w:w="0" w:type="dxa"/>
            <w:right w:w="108" w:type="dxa"/>
          </w:tblCellMar>
        </w:tblPrEx>
        <w:trPr>
          <w:trHeight w:val="533"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3.5.3</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签字盖章要求</w:t>
            </w:r>
          </w:p>
        </w:tc>
        <w:tc>
          <w:tcPr>
            <w:tcW w:w="49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kern w:val="0"/>
                <w:szCs w:val="21"/>
              </w:rPr>
              <w:t>按磋商文件规定签字或盖章</w:t>
            </w:r>
          </w:p>
        </w:tc>
      </w:tr>
      <w:tr>
        <w:tblPrEx>
          <w:tblCellMar>
            <w:top w:w="0" w:type="dxa"/>
            <w:left w:w="108" w:type="dxa"/>
            <w:bottom w:w="0" w:type="dxa"/>
            <w:right w:w="108" w:type="dxa"/>
          </w:tblCellMar>
        </w:tblPrEx>
        <w:trPr>
          <w:trHeight w:val="433"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3.5.4</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响应文件份数</w:t>
            </w:r>
          </w:p>
        </w:tc>
        <w:tc>
          <w:tcPr>
            <w:tcW w:w="498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cs="宋体"/>
                <w:b/>
                <w:szCs w:val="21"/>
              </w:rPr>
            </w:pPr>
            <w:r>
              <w:rPr>
                <w:rFonts w:hint="eastAsia" w:ascii="宋体" w:hAnsi="宋体" w:cs="宋体"/>
                <w:b/>
                <w:szCs w:val="21"/>
              </w:rPr>
              <w:t>正本一份、副本贰份</w:t>
            </w:r>
          </w:p>
        </w:tc>
      </w:tr>
      <w:tr>
        <w:tblPrEx>
          <w:tblCellMar>
            <w:top w:w="0" w:type="dxa"/>
            <w:left w:w="108" w:type="dxa"/>
            <w:bottom w:w="0" w:type="dxa"/>
            <w:right w:w="108" w:type="dxa"/>
          </w:tblCellMar>
        </w:tblPrEx>
        <w:trPr>
          <w:trHeight w:val="546"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3.5.5</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装订要求</w:t>
            </w:r>
          </w:p>
        </w:tc>
        <w:tc>
          <w:tcPr>
            <w:tcW w:w="498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cs="宋体"/>
                <w:szCs w:val="21"/>
              </w:rPr>
            </w:pPr>
            <w:r>
              <w:rPr>
                <w:rFonts w:hint="eastAsia" w:ascii="宋体" w:hAnsi="宋体" w:cs="宋体"/>
                <w:szCs w:val="21"/>
              </w:rPr>
              <w:t>胶装，禁止采用可拆分装订方式</w:t>
            </w:r>
          </w:p>
        </w:tc>
      </w:tr>
      <w:tr>
        <w:tblPrEx>
          <w:tblCellMar>
            <w:top w:w="0" w:type="dxa"/>
            <w:left w:w="108" w:type="dxa"/>
            <w:bottom w:w="0" w:type="dxa"/>
            <w:right w:w="108" w:type="dxa"/>
          </w:tblCellMar>
        </w:tblPrEx>
        <w:trPr>
          <w:trHeight w:val="90"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4.1.2</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封套上写明</w:t>
            </w:r>
          </w:p>
        </w:tc>
        <w:tc>
          <w:tcPr>
            <w:tcW w:w="498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u w:val="single"/>
              </w:rPr>
            </w:pPr>
            <w:r>
              <w:rPr>
                <w:rFonts w:hint="eastAsia" w:ascii="宋体" w:hAnsi="宋体" w:cs="宋体"/>
                <w:kern w:val="0"/>
                <w:szCs w:val="21"/>
              </w:rPr>
              <w:t>供应商名称：</w:t>
            </w:r>
          </w:p>
          <w:p>
            <w:pPr>
              <w:rPr>
                <w:rFonts w:ascii="宋体" w:hAnsi="宋体" w:cs="宋体"/>
                <w:kern w:val="0"/>
                <w:szCs w:val="21"/>
              </w:rPr>
            </w:pPr>
            <w:r>
              <w:rPr>
                <w:rFonts w:hint="eastAsia" w:ascii="宋体" w:hAnsi="宋体" w:cs="宋体"/>
                <w:kern w:val="0"/>
                <w:szCs w:val="21"/>
              </w:rPr>
              <w:t>供应商地址：</w:t>
            </w:r>
          </w:p>
          <w:p>
            <w:pPr>
              <w:rPr>
                <w:rFonts w:ascii="宋体" w:hAnsi="宋体" w:cs="宋体"/>
                <w:kern w:val="0"/>
                <w:szCs w:val="21"/>
              </w:rPr>
            </w:pPr>
            <w:r>
              <w:rPr>
                <w:rFonts w:hint="eastAsia" w:ascii="宋体" w:hAnsi="宋体" w:cs="宋体"/>
                <w:kern w:val="0"/>
                <w:szCs w:val="21"/>
                <w:u w:val="single"/>
              </w:rPr>
              <w:t xml:space="preserve">      （项目名称）               </w:t>
            </w:r>
            <w:r>
              <w:rPr>
                <w:rFonts w:hint="eastAsia" w:ascii="宋体" w:hAnsi="宋体" w:cs="宋体"/>
                <w:kern w:val="0"/>
                <w:szCs w:val="21"/>
              </w:rPr>
              <w:t>响应文件</w:t>
            </w:r>
          </w:p>
          <w:p>
            <w:pPr>
              <w:rPr>
                <w:rFonts w:ascii="宋体" w:hAnsi="宋体" w:cs="宋体"/>
                <w:szCs w:val="21"/>
              </w:rPr>
            </w:pPr>
            <w:r>
              <w:rPr>
                <w:rFonts w:hint="eastAsia" w:ascii="宋体" w:hAnsi="宋体" w:cs="宋体"/>
                <w:kern w:val="0"/>
                <w:szCs w:val="21"/>
              </w:rPr>
              <w:t>在</w:t>
            </w:r>
            <w:r>
              <w:rPr>
                <w:rFonts w:hint="eastAsia" w:ascii="宋体" w:hAnsi="宋体" w:cs="宋体"/>
                <w:kern w:val="0"/>
                <w:szCs w:val="21"/>
                <w:u w:val="single"/>
              </w:rPr>
              <w:t xml:space="preserve"> </w:t>
            </w:r>
            <w:r>
              <w:rPr>
                <w:rFonts w:hint="eastAsia" w:ascii="宋体" w:hAnsi="宋体" w:cs="宋体"/>
                <w:kern w:val="0"/>
                <w:szCs w:val="21"/>
                <w:u w:val="single"/>
                <w:lang w:eastAsia="zh-CN"/>
              </w:rPr>
              <w:t>2020</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rPr>
              <w:t>时</w:t>
            </w:r>
            <w:r>
              <w:rPr>
                <w:rFonts w:hint="eastAsia" w:ascii="宋体" w:hAnsi="宋体" w:cs="宋体"/>
                <w:kern w:val="0"/>
                <w:szCs w:val="21"/>
                <w:u w:val="single"/>
              </w:rPr>
              <w:t xml:space="preserve">    </w:t>
            </w:r>
            <w:r>
              <w:rPr>
                <w:rFonts w:hint="eastAsia" w:ascii="宋体" w:hAnsi="宋体" w:cs="宋体"/>
                <w:kern w:val="0"/>
                <w:szCs w:val="21"/>
              </w:rPr>
              <w:t>分前不得开启</w:t>
            </w:r>
          </w:p>
        </w:tc>
      </w:tr>
      <w:tr>
        <w:tblPrEx>
          <w:tblCellMar>
            <w:top w:w="0" w:type="dxa"/>
            <w:left w:w="108" w:type="dxa"/>
            <w:bottom w:w="0" w:type="dxa"/>
            <w:right w:w="108" w:type="dxa"/>
          </w:tblCellMar>
        </w:tblPrEx>
        <w:trPr>
          <w:trHeight w:val="740"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4.2.2</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提交响应文件地点</w:t>
            </w:r>
          </w:p>
        </w:tc>
        <w:tc>
          <w:tcPr>
            <w:tcW w:w="498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hint="default" w:ascii="宋体" w:hAnsi="宋体" w:eastAsia="宋体" w:cs="宋体"/>
                <w:szCs w:val="21"/>
                <w:lang w:val="en-US" w:eastAsia="zh-CN"/>
              </w:rPr>
            </w:pPr>
            <w:r>
              <w:rPr>
                <w:rFonts w:hint="eastAsia" w:ascii="宋体" w:hAnsi="宋体" w:cs="宋体"/>
                <w:szCs w:val="21"/>
              </w:rPr>
              <w:t>郑州市</w:t>
            </w:r>
            <w:r>
              <w:rPr>
                <w:rFonts w:hint="eastAsia" w:ascii="宋体" w:hAnsi="宋体" w:cs="宋体"/>
                <w:szCs w:val="21"/>
                <w:lang w:val="en-US" w:eastAsia="zh-CN"/>
              </w:rPr>
              <w:t>中原西路40号郑州市教育局七楼709会议室</w:t>
            </w:r>
          </w:p>
        </w:tc>
      </w:tr>
      <w:tr>
        <w:tblPrEx>
          <w:tblCellMar>
            <w:top w:w="0" w:type="dxa"/>
            <w:left w:w="108" w:type="dxa"/>
            <w:bottom w:w="0" w:type="dxa"/>
            <w:right w:w="108" w:type="dxa"/>
          </w:tblCellMar>
        </w:tblPrEx>
        <w:trPr>
          <w:trHeight w:val="515"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4.2.3</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是否退还响应文件</w:t>
            </w:r>
          </w:p>
        </w:tc>
        <w:tc>
          <w:tcPr>
            <w:tcW w:w="4988" w:type="dxa"/>
            <w:tcBorders>
              <w:top w:val="single" w:color="auto" w:sz="4" w:space="0"/>
              <w:left w:val="single" w:color="auto" w:sz="4" w:space="0"/>
              <w:bottom w:val="single" w:color="auto" w:sz="4" w:space="0"/>
              <w:right w:val="single" w:color="auto" w:sz="4" w:space="0"/>
            </w:tcBorders>
            <w:vAlign w:val="center"/>
          </w:tcPr>
          <w:p>
            <w:pPr>
              <w:pStyle w:val="16"/>
              <w:topLinePunct/>
              <w:adjustRightInd w:val="0"/>
              <w:textAlignment w:val="baseline"/>
              <w:rPr>
                <w:rFonts w:ascii="宋体" w:hAnsi="宋体" w:cs="宋体"/>
                <w:kern w:val="2"/>
                <w:sz w:val="21"/>
                <w:szCs w:val="21"/>
              </w:rPr>
            </w:pPr>
            <w:r>
              <w:rPr>
                <w:rFonts w:hint="eastAsia" w:ascii="宋体" w:hAnsi="宋体" w:cs="宋体"/>
                <w:kern w:val="2"/>
                <w:sz w:val="21"/>
                <w:szCs w:val="21"/>
              </w:rPr>
              <w:t>否</w:t>
            </w:r>
          </w:p>
        </w:tc>
      </w:tr>
      <w:tr>
        <w:tblPrEx>
          <w:tblCellMar>
            <w:top w:w="0" w:type="dxa"/>
            <w:left w:w="108" w:type="dxa"/>
            <w:bottom w:w="0" w:type="dxa"/>
            <w:right w:w="108" w:type="dxa"/>
          </w:tblCellMar>
        </w:tblPrEx>
        <w:trPr>
          <w:trHeight w:val="685"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5.1</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磋商时间和地点</w:t>
            </w:r>
          </w:p>
        </w:tc>
        <w:tc>
          <w:tcPr>
            <w:tcW w:w="49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kern w:val="0"/>
                <w:szCs w:val="21"/>
              </w:rPr>
            </w:pPr>
            <w:r>
              <w:rPr>
                <w:rFonts w:hint="eastAsia" w:ascii="宋体" w:hAnsi="宋体" w:cs="宋体"/>
                <w:szCs w:val="21"/>
              </w:rPr>
              <w:t>磋商</w:t>
            </w:r>
            <w:r>
              <w:rPr>
                <w:rFonts w:hint="eastAsia" w:ascii="宋体" w:hAnsi="宋体" w:cs="宋体"/>
                <w:kern w:val="0"/>
                <w:szCs w:val="21"/>
              </w:rPr>
              <w:t>时间：</w:t>
            </w:r>
            <w:r>
              <w:rPr>
                <w:rFonts w:hint="eastAsia" w:ascii="宋体" w:hAnsi="宋体" w:cs="宋体"/>
                <w:b/>
                <w:bCs/>
                <w:szCs w:val="21"/>
                <w:u w:val="single"/>
                <w:lang w:eastAsia="zh-CN"/>
              </w:rPr>
              <w:t>2020</w:t>
            </w:r>
            <w:r>
              <w:rPr>
                <w:rFonts w:hint="eastAsia" w:ascii="宋体" w:hAnsi="宋体" w:cs="宋体"/>
                <w:b/>
                <w:bCs/>
                <w:szCs w:val="21"/>
                <w:u w:val="single"/>
                <w:lang w:val="en-US" w:eastAsia="zh-CN"/>
              </w:rPr>
              <w:t xml:space="preserve"> </w:t>
            </w:r>
            <w:r>
              <w:rPr>
                <w:rFonts w:hint="eastAsia" w:ascii="宋体" w:hAnsi="宋体" w:cs="宋体"/>
                <w:b/>
                <w:bCs/>
                <w:szCs w:val="21"/>
                <w:u w:val="single"/>
              </w:rPr>
              <w:t>年</w:t>
            </w:r>
            <w:r>
              <w:rPr>
                <w:rFonts w:hint="eastAsia" w:ascii="宋体" w:hAnsi="宋体" w:cs="宋体"/>
                <w:b/>
                <w:bCs/>
                <w:szCs w:val="21"/>
                <w:u w:val="single"/>
                <w:lang w:val="en-US" w:eastAsia="zh-CN"/>
              </w:rPr>
              <w:t xml:space="preserve"> 6 </w:t>
            </w:r>
            <w:r>
              <w:rPr>
                <w:rFonts w:hint="eastAsia" w:ascii="宋体" w:hAnsi="宋体" w:cs="宋体"/>
                <w:b/>
                <w:bCs/>
                <w:szCs w:val="21"/>
                <w:u w:val="single"/>
              </w:rPr>
              <w:t>月</w:t>
            </w:r>
            <w:r>
              <w:rPr>
                <w:rFonts w:hint="eastAsia" w:ascii="宋体" w:hAnsi="宋体" w:cs="宋体"/>
                <w:b/>
                <w:bCs/>
                <w:szCs w:val="21"/>
                <w:u w:val="single"/>
                <w:lang w:val="en-US" w:eastAsia="zh-CN"/>
              </w:rPr>
              <w:t xml:space="preserve"> 22 </w:t>
            </w:r>
            <w:r>
              <w:rPr>
                <w:rFonts w:hint="eastAsia" w:ascii="宋体" w:hAnsi="宋体" w:cs="宋体"/>
                <w:b/>
                <w:bCs/>
                <w:szCs w:val="21"/>
                <w:u w:val="single"/>
              </w:rPr>
              <w:t xml:space="preserve">日 </w:t>
            </w:r>
            <w:r>
              <w:rPr>
                <w:rFonts w:hint="eastAsia" w:ascii="宋体" w:hAnsi="宋体" w:cs="宋体"/>
                <w:b/>
                <w:bCs/>
                <w:szCs w:val="21"/>
                <w:u w:val="single"/>
                <w:lang w:val="en-US" w:eastAsia="zh-CN"/>
              </w:rPr>
              <w:t xml:space="preserve">15 </w:t>
            </w:r>
            <w:r>
              <w:rPr>
                <w:rFonts w:hint="eastAsia" w:ascii="宋体" w:hAnsi="宋体" w:cs="宋体"/>
                <w:b/>
                <w:bCs/>
                <w:szCs w:val="21"/>
                <w:u w:val="single"/>
              </w:rPr>
              <w:t>时</w:t>
            </w:r>
            <w:r>
              <w:rPr>
                <w:rFonts w:hint="eastAsia" w:ascii="宋体" w:hAnsi="宋体" w:cs="宋体"/>
                <w:b/>
                <w:bCs/>
                <w:szCs w:val="21"/>
                <w:u w:val="single"/>
                <w:lang w:val="en-US" w:eastAsia="zh-CN"/>
              </w:rPr>
              <w:t>0</w:t>
            </w:r>
            <w:r>
              <w:rPr>
                <w:rFonts w:hint="eastAsia" w:ascii="宋体" w:hAnsi="宋体" w:cs="宋体"/>
                <w:b/>
                <w:bCs/>
                <w:szCs w:val="21"/>
                <w:u w:val="single"/>
              </w:rPr>
              <w:t>0分</w:t>
            </w:r>
          </w:p>
          <w:p>
            <w:pPr>
              <w:rPr>
                <w:rFonts w:ascii="宋体" w:hAnsi="宋体" w:cs="宋体"/>
                <w:szCs w:val="21"/>
              </w:rPr>
            </w:pPr>
            <w:r>
              <w:rPr>
                <w:rFonts w:hint="eastAsia" w:ascii="宋体" w:hAnsi="宋体" w:cs="宋体"/>
                <w:szCs w:val="21"/>
              </w:rPr>
              <w:t>磋商</w:t>
            </w:r>
            <w:r>
              <w:rPr>
                <w:rFonts w:hint="eastAsia" w:ascii="宋体" w:hAnsi="宋体" w:cs="宋体"/>
                <w:kern w:val="0"/>
                <w:szCs w:val="21"/>
              </w:rPr>
              <w:t>地点：</w:t>
            </w:r>
            <w:r>
              <w:rPr>
                <w:rFonts w:hint="eastAsia" w:ascii="宋体" w:hAnsi="宋体" w:cs="宋体"/>
                <w:szCs w:val="21"/>
              </w:rPr>
              <w:t>郑州市</w:t>
            </w:r>
            <w:r>
              <w:rPr>
                <w:rFonts w:hint="eastAsia" w:ascii="宋体" w:hAnsi="宋体" w:cs="宋体"/>
                <w:szCs w:val="21"/>
                <w:lang w:val="en-US" w:eastAsia="zh-CN"/>
              </w:rPr>
              <w:t>中原西路40号郑州市教育局七楼709会议室</w:t>
            </w:r>
          </w:p>
        </w:tc>
      </w:tr>
      <w:tr>
        <w:tblPrEx>
          <w:tblCellMar>
            <w:top w:w="0" w:type="dxa"/>
            <w:left w:w="108" w:type="dxa"/>
            <w:bottom w:w="0" w:type="dxa"/>
            <w:right w:w="108" w:type="dxa"/>
          </w:tblCellMar>
        </w:tblPrEx>
        <w:trPr>
          <w:trHeight w:val="1040"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6.1.1</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磋商小组的组建</w:t>
            </w:r>
          </w:p>
        </w:tc>
        <w:tc>
          <w:tcPr>
            <w:tcW w:w="498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cs="宋体"/>
                <w:szCs w:val="21"/>
              </w:rPr>
            </w:pPr>
            <w:r>
              <w:rPr>
                <w:rFonts w:hint="eastAsia" w:ascii="宋体" w:hAnsi="宋体" w:cs="宋体"/>
                <w:szCs w:val="21"/>
              </w:rPr>
              <w:t>磋商小组构成： 3 人，其中采购人代表 1 人，专家评委 2 人；</w:t>
            </w:r>
          </w:p>
          <w:p>
            <w:pPr>
              <w:adjustRightInd w:val="0"/>
              <w:textAlignment w:val="baseline"/>
              <w:rPr>
                <w:rFonts w:ascii="宋体" w:hAnsi="宋体" w:cs="宋体"/>
                <w:szCs w:val="21"/>
              </w:rPr>
            </w:pPr>
            <w:r>
              <w:rPr>
                <w:rFonts w:hint="eastAsia" w:ascii="宋体" w:hAnsi="宋体" w:cs="宋体"/>
                <w:szCs w:val="21"/>
              </w:rPr>
              <w:t>专家确定方式：磋商前从相关专家库中随机抽取。</w:t>
            </w:r>
          </w:p>
        </w:tc>
      </w:tr>
      <w:tr>
        <w:tblPrEx>
          <w:tblCellMar>
            <w:top w:w="0" w:type="dxa"/>
            <w:left w:w="108" w:type="dxa"/>
            <w:bottom w:w="0" w:type="dxa"/>
            <w:right w:w="108" w:type="dxa"/>
          </w:tblCellMar>
        </w:tblPrEx>
        <w:trPr>
          <w:trHeight w:val="253"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7.1</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是否授权磋商小组确定成交人</w:t>
            </w:r>
          </w:p>
        </w:tc>
        <w:tc>
          <w:tcPr>
            <w:tcW w:w="498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cs="宋体"/>
                <w:szCs w:val="21"/>
              </w:rPr>
            </w:pPr>
            <w:r>
              <w:rPr>
                <w:rFonts w:hint="eastAsia" w:ascii="宋体" w:hAnsi="宋体" w:cs="宋体"/>
                <w:szCs w:val="21"/>
              </w:rPr>
              <w:t>否；推荐的成交候选人数：</w:t>
            </w:r>
            <w:r>
              <w:rPr>
                <w:rFonts w:hint="eastAsia" w:ascii="宋体" w:hAnsi="宋体" w:cs="宋体"/>
                <w:szCs w:val="21"/>
                <w:lang w:val="en-US" w:eastAsia="zh-CN"/>
              </w:rPr>
              <w:t>2</w:t>
            </w:r>
            <w:r>
              <w:rPr>
                <w:rFonts w:hint="eastAsia" w:ascii="宋体" w:hAnsi="宋体" w:cs="宋体"/>
                <w:szCs w:val="21"/>
              </w:rPr>
              <w:t>名</w:t>
            </w:r>
          </w:p>
        </w:tc>
      </w:tr>
      <w:tr>
        <w:tblPrEx>
          <w:tblCellMar>
            <w:top w:w="0" w:type="dxa"/>
            <w:left w:w="108" w:type="dxa"/>
            <w:bottom w:w="0" w:type="dxa"/>
            <w:right w:w="108" w:type="dxa"/>
          </w:tblCellMar>
        </w:tblPrEx>
        <w:trPr>
          <w:trHeight w:val="609" w:hRule="atLeast"/>
        </w:trPr>
        <w:tc>
          <w:tcPr>
            <w:tcW w:w="8509" w:type="dxa"/>
            <w:gridSpan w:val="4"/>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需要补充的其他内容</w:t>
            </w:r>
          </w:p>
        </w:tc>
      </w:tr>
      <w:tr>
        <w:tblPrEx>
          <w:tblCellMar>
            <w:top w:w="0" w:type="dxa"/>
            <w:left w:w="108" w:type="dxa"/>
            <w:bottom w:w="0" w:type="dxa"/>
            <w:right w:w="108" w:type="dxa"/>
          </w:tblCellMar>
        </w:tblPrEx>
        <w:trPr>
          <w:trHeight w:val="703"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10.1</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代理服务费</w:t>
            </w:r>
          </w:p>
        </w:tc>
        <w:tc>
          <w:tcPr>
            <w:tcW w:w="5049" w:type="dxa"/>
            <w:gridSpan w:val="2"/>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cs="宋体"/>
                <w:szCs w:val="21"/>
              </w:rPr>
            </w:pPr>
            <w:r>
              <w:rPr>
                <w:rFonts w:hint="eastAsia"/>
                <w:szCs w:val="21"/>
              </w:rPr>
              <w:t>根据国家发展改革委关于进一步放开建设项目专业服务价格的通知【发改价格[2015] 299号】，本次招标项目代理服务费为</w:t>
            </w:r>
            <w:r>
              <w:rPr>
                <w:rFonts w:hint="eastAsia"/>
                <w:szCs w:val="21"/>
                <w:lang w:val="en-US" w:eastAsia="zh-CN"/>
              </w:rPr>
              <w:t>4500元</w:t>
            </w:r>
          </w:p>
        </w:tc>
      </w:tr>
      <w:tr>
        <w:tblPrEx>
          <w:tblCellMar>
            <w:top w:w="0" w:type="dxa"/>
            <w:left w:w="108" w:type="dxa"/>
            <w:bottom w:w="0" w:type="dxa"/>
            <w:right w:w="108" w:type="dxa"/>
          </w:tblCellMar>
        </w:tblPrEx>
        <w:trPr>
          <w:trHeight w:val="2381"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10.2</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cs="宋体"/>
                <w:szCs w:val="21"/>
              </w:rPr>
            </w:pPr>
            <w:r>
              <w:rPr>
                <w:rFonts w:hint="eastAsia" w:ascii="宋体" w:hAnsi="宋体" w:cs="宋体"/>
                <w:szCs w:val="21"/>
              </w:rPr>
              <w:t>解释权</w:t>
            </w:r>
          </w:p>
        </w:tc>
        <w:tc>
          <w:tcPr>
            <w:tcW w:w="5049" w:type="dxa"/>
            <w:gridSpan w:val="2"/>
            <w:tcBorders>
              <w:top w:val="single" w:color="auto" w:sz="4" w:space="0"/>
              <w:left w:val="single" w:color="auto" w:sz="4" w:space="0"/>
              <w:bottom w:val="single" w:color="auto" w:sz="4" w:space="0"/>
              <w:right w:val="single" w:color="auto" w:sz="4" w:space="0"/>
            </w:tcBorders>
            <w:vAlign w:val="center"/>
          </w:tcPr>
          <w:p>
            <w:pPr>
              <w:adjustRightInd w:val="0"/>
              <w:jc w:val="left"/>
              <w:textAlignment w:val="baseline"/>
              <w:rPr>
                <w:rFonts w:ascii="宋体" w:hAnsi="宋体" w:cs="宋体"/>
                <w:szCs w:val="21"/>
              </w:rPr>
            </w:pPr>
            <w:r>
              <w:rPr>
                <w:rFonts w:hint="eastAsia" w:ascii="宋体" w:hAnsi="宋体" w:cs="宋体"/>
                <w:szCs w:val="21"/>
              </w:rPr>
              <w:t>构成本磋商文件的各个组成文件应互为解释，互为说明；如有不明确或不一致，按磋商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718" w:hRule="atLeast"/>
        </w:trPr>
        <w:tc>
          <w:tcPr>
            <w:tcW w:w="113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宋体" w:hAnsi="宋体" w:cs="宋体"/>
                <w:szCs w:val="21"/>
              </w:rPr>
              <w:t>10.3</w:t>
            </w:r>
          </w:p>
        </w:tc>
        <w:tc>
          <w:tcPr>
            <w:tcW w:w="232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采购预算价</w:t>
            </w:r>
          </w:p>
        </w:tc>
        <w:tc>
          <w:tcPr>
            <w:tcW w:w="5049" w:type="dxa"/>
            <w:gridSpan w:val="2"/>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lang w:val="en-US" w:eastAsia="zh-CN"/>
              </w:rPr>
              <w:t>30</w:t>
            </w:r>
            <w:r>
              <w:rPr>
                <w:rFonts w:hint="eastAsia"/>
                <w:szCs w:val="21"/>
                <w:lang w:eastAsia="zh-CN"/>
              </w:rPr>
              <w:t>万</w:t>
            </w:r>
            <w:r>
              <w:rPr>
                <w:rFonts w:hint="eastAsia"/>
                <w:szCs w:val="21"/>
              </w:rPr>
              <w:t>元</w:t>
            </w:r>
            <w:r>
              <w:rPr>
                <w:szCs w:val="21"/>
              </w:rPr>
              <w:t xml:space="preserve"> </w:t>
            </w:r>
          </w:p>
        </w:tc>
      </w:tr>
      <w:tr>
        <w:tblPrEx>
          <w:tblCellMar>
            <w:top w:w="0" w:type="dxa"/>
            <w:left w:w="108" w:type="dxa"/>
            <w:bottom w:w="0" w:type="dxa"/>
            <w:right w:w="108" w:type="dxa"/>
          </w:tblCellMar>
        </w:tblPrEx>
        <w:trPr>
          <w:trHeight w:val="718" w:hRule="atLeast"/>
        </w:trPr>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10.4</w:t>
            </w:r>
          </w:p>
        </w:tc>
        <w:tc>
          <w:tcPr>
            <w:tcW w:w="737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61" w:leftChars="29"/>
              <w:jc w:val="left"/>
              <w:rPr>
                <w:rFonts w:ascii="宋体" w:hAnsi="宋体"/>
                <w:b/>
                <w:sz w:val="18"/>
                <w:szCs w:val="21"/>
              </w:rPr>
            </w:pPr>
            <w:r>
              <w:rPr>
                <w:rFonts w:hint="eastAsia" w:ascii="宋体" w:hAnsi="宋体"/>
                <w:b/>
                <w:sz w:val="18"/>
                <w:szCs w:val="21"/>
              </w:rPr>
              <w:t>A、为贯彻落实财库[2011]181号《财政部、工信部关于印发《政府采购促进中小企业发展暂行办法》的通知》、豫财购[2013]14号《河南省财政厅、河南省工业和信息化厅关于政府采购促进小型微型企业发展的实施意见》、郑财办购[2012]8号《郑州市财政局、郑州市工业和信息化委员会关于政府采购促进中小企业发展有关问题的通知》，本项目鼓励中小企业参与，中小型企业须提交《中小企业声明函》原件及或相关行政部门出具的认定证明复印件，否则不予采纳；（声明函格式详见附件）</w:t>
            </w:r>
          </w:p>
          <w:p>
            <w:pPr>
              <w:spacing w:line="276" w:lineRule="auto"/>
              <w:ind w:left="61" w:leftChars="29"/>
              <w:jc w:val="left"/>
              <w:rPr>
                <w:rFonts w:ascii="宋体" w:hAnsi="宋体"/>
                <w:b/>
                <w:sz w:val="18"/>
                <w:szCs w:val="21"/>
              </w:rPr>
            </w:pPr>
            <w:r>
              <w:rPr>
                <w:rFonts w:hint="eastAsia" w:ascii="宋体" w:hAnsi="宋体"/>
                <w:b/>
                <w:sz w:val="18"/>
                <w:szCs w:val="21"/>
              </w:rPr>
              <w:t>B、中小企业划型标准以工信部联企业〔2011〕300号《工业和信息化部国家统计局国家发展和改革委财政部关于印发中小企业划型标准规定的通知》为依据。其中企业的营业收入、资产总额判定依据为最近一年度的财务审计报告，企业从业人员总数判定依据为缴纳统筹人员总数。</w:t>
            </w:r>
          </w:p>
          <w:p>
            <w:pPr>
              <w:spacing w:line="276" w:lineRule="auto"/>
              <w:ind w:left="61" w:leftChars="29"/>
              <w:jc w:val="left"/>
              <w:rPr>
                <w:rFonts w:ascii="宋体" w:hAnsi="宋体"/>
                <w:b/>
                <w:sz w:val="18"/>
                <w:szCs w:val="21"/>
              </w:rPr>
            </w:pPr>
            <w:r>
              <w:rPr>
                <w:rFonts w:hint="eastAsia" w:ascii="宋体" w:hAnsi="宋体"/>
                <w:b/>
                <w:sz w:val="18"/>
                <w:szCs w:val="21"/>
              </w:rPr>
              <w:t>C、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w:t>
            </w:r>
          </w:p>
          <w:p>
            <w:pPr>
              <w:spacing w:line="276" w:lineRule="auto"/>
              <w:ind w:left="61" w:leftChars="29"/>
              <w:jc w:val="left"/>
              <w:rPr>
                <w:rFonts w:ascii="宋体" w:hAnsi="宋体"/>
                <w:b/>
                <w:sz w:val="18"/>
                <w:szCs w:val="21"/>
              </w:rPr>
            </w:pPr>
            <w:r>
              <w:rPr>
                <w:rFonts w:hint="eastAsia" w:ascii="宋体" w:hAnsi="宋体"/>
                <w:b/>
                <w:sz w:val="18"/>
                <w:szCs w:val="21"/>
              </w:rPr>
              <w:t>D、根据《财政部、民政部、中国残疾人联合会关于关于促进残疾人就业政府采购政策的通知》（财库〔2017〕141号）规定，本项目支持残疾人福利性单位参与政府采购活动。在政府采购活动中，残疾人福利性单位视同小型、微型企业，享受预留份额、评审中价格扣除等促进中小企业发展的政府采购政策。</w:t>
            </w:r>
          </w:p>
          <w:p>
            <w:pPr>
              <w:rPr>
                <w:szCs w:val="21"/>
              </w:rPr>
            </w:pPr>
            <w:r>
              <w:rPr>
                <w:rFonts w:hint="eastAsia" w:ascii="宋体" w:hAnsi="宋体"/>
                <w:b/>
                <w:sz w:val="18"/>
                <w:szCs w:val="21"/>
              </w:rPr>
              <w:t>E、磋商文件的最终解释权归采购人，其它未尽事宜，按国家有关法律、法规执行</w:t>
            </w:r>
          </w:p>
        </w:tc>
      </w:tr>
    </w:tbl>
    <w:p>
      <w:pPr>
        <w:spacing w:line="360" w:lineRule="auto"/>
        <w:rPr>
          <w:rFonts w:ascii="宋体" w:hAnsi="宋体" w:cs="宋体"/>
          <w:b/>
          <w:sz w:val="24"/>
        </w:rPr>
      </w:pPr>
      <w:bookmarkStart w:id="15" w:name="_Toc144974497"/>
      <w:bookmarkStart w:id="16" w:name="_Toc152042305"/>
      <w:bookmarkStart w:id="17" w:name="_Toc152045529"/>
      <w:r>
        <w:rPr>
          <w:rFonts w:hint="eastAsia" w:ascii="宋体" w:hAnsi="宋体"/>
        </w:rPr>
        <w:br w:type="page"/>
      </w:r>
      <w:bookmarkStart w:id="18" w:name="_Toc455080108"/>
      <w:bookmarkStart w:id="19" w:name="_Toc466298091"/>
      <w:r>
        <w:rPr>
          <w:rFonts w:hint="eastAsia" w:ascii="宋体" w:hAnsi="宋体" w:cs="宋体"/>
          <w:b/>
          <w:sz w:val="24"/>
        </w:rPr>
        <w:t>1. 总则</w:t>
      </w:r>
      <w:bookmarkEnd w:id="15"/>
      <w:bookmarkEnd w:id="16"/>
      <w:bookmarkEnd w:id="17"/>
      <w:bookmarkEnd w:id="18"/>
      <w:bookmarkEnd w:id="19"/>
    </w:p>
    <w:p>
      <w:pPr>
        <w:spacing w:line="360" w:lineRule="auto"/>
        <w:rPr>
          <w:rFonts w:ascii="宋体" w:hAnsi="宋体" w:cs="宋体"/>
          <w:b/>
          <w:sz w:val="24"/>
        </w:rPr>
      </w:pPr>
      <w:bookmarkStart w:id="20" w:name="_Toc1172"/>
      <w:bookmarkStart w:id="21" w:name="_Toc21458"/>
      <w:bookmarkStart w:id="22" w:name="_Toc15709"/>
      <w:bookmarkStart w:id="23" w:name="_Toc29023"/>
      <w:bookmarkStart w:id="24" w:name="_Toc318450675"/>
      <w:bookmarkStart w:id="25" w:name="_Toc485131155"/>
      <w:bookmarkStart w:id="26" w:name="_Toc466298092"/>
      <w:bookmarkStart w:id="27" w:name="_Toc10273"/>
      <w:bookmarkStart w:id="28" w:name="_Toc455867769"/>
      <w:bookmarkStart w:id="29" w:name="_Toc2192"/>
      <w:bookmarkStart w:id="30" w:name="_Toc31404"/>
      <w:bookmarkStart w:id="31" w:name="_Toc274409866"/>
      <w:bookmarkStart w:id="32" w:name="_Toc455080109"/>
      <w:bookmarkStart w:id="33" w:name="_Toc281380952"/>
      <w:bookmarkStart w:id="34" w:name="_Toc152042307"/>
      <w:bookmarkStart w:id="35" w:name="_Toc152045531"/>
      <w:bookmarkStart w:id="36" w:name="_Toc144974499"/>
      <w:r>
        <w:rPr>
          <w:rFonts w:hint="eastAsia" w:ascii="宋体" w:hAnsi="宋体" w:cs="宋体"/>
          <w:b/>
          <w:sz w:val="24"/>
        </w:rPr>
        <w:t>1.1 适用范围</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rPr>
          <w:rFonts w:ascii="宋体" w:hAnsi="宋体" w:cs="宋体"/>
          <w:sz w:val="24"/>
        </w:rPr>
      </w:pPr>
      <w:r>
        <w:rPr>
          <w:rFonts w:hint="eastAsia" w:ascii="宋体" w:hAnsi="宋体" w:cs="宋体"/>
          <w:sz w:val="24"/>
        </w:rPr>
        <w:t>1.1.1根据《中华人民共和国政府采购法》等有关法律、法规和规章的规定，编制本项目磋商文件。</w:t>
      </w:r>
    </w:p>
    <w:p>
      <w:pPr>
        <w:spacing w:line="360" w:lineRule="auto"/>
        <w:rPr>
          <w:rFonts w:ascii="宋体" w:hAnsi="宋体" w:cs="宋体"/>
          <w:b/>
          <w:sz w:val="24"/>
        </w:rPr>
      </w:pPr>
      <w:bookmarkStart w:id="37" w:name="_Toc455867770"/>
      <w:bookmarkStart w:id="38" w:name="_Toc30891"/>
      <w:bookmarkStart w:id="39" w:name="_Toc455080110"/>
      <w:bookmarkStart w:id="40" w:name="_Toc2929"/>
      <w:bookmarkStart w:id="41" w:name="_Toc485131156"/>
      <w:bookmarkStart w:id="42" w:name="_Toc3336"/>
      <w:bookmarkStart w:id="43" w:name="_Toc32619"/>
      <w:bookmarkStart w:id="44" w:name="_Toc710"/>
      <w:bookmarkStart w:id="45" w:name="_Toc466298093"/>
      <w:bookmarkStart w:id="46" w:name="_Toc10694"/>
      <w:bookmarkStart w:id="47" w:name="_Toc25773"/>
      <w:bookmarkStart w:id="48" w:name="_Toc274409867"/>
      <w:bookmarkStart w:id="49" w:name="_Toc318450676"/>
      <w:bookmarkStart w:id="50" w:name="_Toc281405468"/>
      <w:r>
        <w:rPr>
          <w:rFonts w:hint="eastAsia" w:ascii="宋体" w:hAnsi="宋体" w:cs="宋体"/>
          <w:b/>
          <w:sz w:val="24"/>
        </w:rPr>
        <w:t>1.2 采购项目说明</w:t>
      </w:r>
      <w:bookmarkEnd w:id="37"/>
      <w:bookmarkEnd w:id="38"/>
      <w:bookmarkEnd w:id="39"/>
      <w:bookmarkEnd w:id="40"/>
      <w:bookmarkEnd w:id="41"/>
      <w:bookmarkEnd w:id="42"/>
      <w:bookmarkEnd w:id="43"/>
      <w:bookmarkEnd w:id="44"/>
      <w:bookmarkEnd w:id="45"/>
      <w:bookmarkEnd w:id="46"/>
      <w:bookmarkEnd w:id="47"/>
      <w:bookmarkEnd w:id="48"/>
      <w:bookmarkEnd w:id="49"/>
      <w:bookmarkEnd w:id="50"/>
    </w:p>
    <w:p>
      <w:pPr>
        <w:spacing w:line="360" w:lineRule="auto"/>
        <w:ind w:firstLine="480" w:firstLineChars="200"/>
        <w:rPr>
          <w:rFonts w:ascii="宋体" w:hAnsi="宋体" w:cs="宋体"/>
          <w:sz w:val="24"/>
        </w:rPr>
      </w:pPr>
      <w:r>
        <w:rPr>
          <w:rFonts w:hint="eastAsia" w:ascii="宋体" w:hAnsi="宋体" w:cs="宋体"/>
          <w:sz w:val="24"/>
        </w:rPr>
        <w:t>1.2.1 本项目采购人：见供应商须知前附表。</w:t>
      </w:r>
    </w:p>
    <w:p>
      <w:pPr>
        <w:spacing w:line="360" w:lineRule="auto"/>
        <w:ind w:firstLine="480" w:firstLineChars="200"/>
        <w:rPr>
          <w:rFonts w:ascii="宋体" w:hAnsi="宋体" w:cs="宋体"/>
          <w:sz w:val="24"/>
        </w:rPr>
      </w:pPr>
      <w:r>
        <w:rPr>
          <w:rFonts w:hint="eastAsia" w:ascii="宋体" w:hAnsi="宋体" w:cs="宋体"/>
          <w:sz w:val="24"/>
        </w:rPr>
        <w:t>1.2.2 本项目采购代理机构：见供应商须知前附表。</w:t>
      </w:r>
    </w:p>
    <w:p>
      <w:pPr>
        <w:spacing w:line="360" w:lineRule="auto"/>
        <w:ind w:firstLine="480" w:firstLineChars="200"/>
        <w:rPr>
          <w:rFonts w:ascii="宋体" w:hAnsi="宋体" w:cs="宋体"/>
          <w:sz w:val="24"/>
        </w:rPr>
      </w:pPr>
      <w:r>
        <w:rPr>
          <w:rFonts w:hint="eastAsia" w:ascii="宋体" w:hAnsi="宋体" w:cs="宋体"/>
          <w:sz w:val="24"/>
        </w:rPr>
        <w:t>1.2.3 本项目名称：见供应商须知前附表。</w:t>
      </w:r>
    </w:p>
    <w:p>
      <w:pPr>
        <w:spacing w:line="360" w:lineRule="auto"/>
        <w:rPr>
          <w:rFonts w:ascii="宋体" w:hAnsi="宋体" w:cs="宋体"/>
          <w:b/>
          <w:sz w:val="24"/>
        </w:rPr>
      </w:pPr>
      <w:bookmarkStart w:id="51" w:name="_Toc4952"/>
      <w:bookmarkStart w:id="52" w:name="_Toc1373"/>
      <w:bookmarkStart w:id="53" w:name="_Toc14006"/>
      <w:bookmarkStart w:id="54" w:name="_Toc318450677"/>
      <w:bookmarkStart w:id="55" w:name="_Toc3477"/>
      <w:bookmarkStart w:id="56" w:name="_Toc281405469"/>
      <w:bookmarkStart w:id="57" w:name="_Toc455867771"/>
      <w:bookmarkStart w:id="58" w:name="_Toc16931"/>
      <w:bookmarkStart w:id="59" w:name="_Toc455080111"/>
      <w:bookmarkStart w:id="60" w:name="_Toc274409868"/>
      <w:bookmarkStart w:id="61" w:name="_Toc485131157"/>
      <w:bookmarkStart w:id="62" w:name="_Toc466298094"/>
      <w:bookmarkStart w:id="63" w:name="_Toc17016"/>
      <w:bookmarkStart w:id="64" w:name="_Toc18960"/>
      <w:r>
        <w:rPr>
          <w:rFonts w:hint="eastAsia" w:ascii="宋体" w:hAnsi="宋体" w:cs="宋体"/>
          <w:b/>
          <w:sz w:val="24"/>
        </w:rPr>
        <w:t>1.3 定义及解释</w:t>
      </w:r>
      <w:bookmarkEnd w:id="51"/>
      <w:bookmarkEnd w:id="52"/>
      <w:bookmarkEnd w:id="53"/>
      <w:bookmarkEnd w:id="54"/>
      <w:bookmarkEnd w:id="55"/>
      <w:bookmarkEnd w:id="56"/>
      <w:bookmarkEnd w:id="57"/>
      <w:bookmarkEnd w:id="58"/>
      <w:bookmarkEnd w:id="59"/>
      <w:bookmarkEnd w:id="60"/>
      <w:bookmarkEnd w:id="61"/>
      <w:bookmarkEnd w:id="62"/>
      <w:bookmarkEnd w:id="63"/>
      <w:bookmarkEnd w:id="64"/>
    </w:p>
    <w:p>
      <w:pPr>
        <w:spacing w:line="360" w:lineRule="auto"/>
        <w:ind w:firstLine="480" w:firstLineChars="200"/>
        <w:rPr>
          <w:rFonts w:ascii="宋体" w:hAnsi="宋体" w:cs="宋体"/>
          <w:sz w:val="24"/>
        </w:rPr>
      </w:pPr>
      <w:r>
        <w:rPr>
          <w:rFonts w:hint="eastAsia" w:ascii="宋体" w:hAnsi="宋体" w:cs="宋体"/>
          <w:sz w:val="24"/>
        </w:rPr>
        <w:t>1.3.1采购人：依法进行政府采购的国家机关、事业单位、团体组织。</w:t>
      </w:r>
    </w:p>
    <w:p>
      <w:pPr>
        <w:spacing w:line="360" w:lineRule="auto"/>
        <w:ind w:firstLine="480" w:firstLineChars="200"/>
        <w:rPr>
          <w:rFonts w:ascii="宋体" w:hAnsi="宋体" w:cs="宋体"/>
          <w:sz w:val="24"/>
        </w:rPr>
      </w:pPr>
      <w:r>
        <w:rPr>
          <w:rFonts w:hint="eastAsia" w:ascii="宋体" w:hAnsi="宋体" w:cs="宋体"/>
          <w:sz w:val="24"/>
        </w:rPr>
        <w:t>1.3.2采购代理机构：取得政府采购招标代理资质，受采购人委托组织招标活动的社会中介组织。</w:t>
      </w:r>
    </w:p>
    <w:p>
      <w:pPr>
        <w:spacing w:line="360" w:lineRule="auto"/>
        <w:ind w:firstLine="480" w:firstLineChars="200"/>
        <w:rPr>
          <w:rFonts w:ascii="宋体" w:hAnsi="宋体" w:cs="宋体"/>
          <w:sz w:val="24"/>
        </w:rPr>
      </w:pPr>
      <w:r>
        <w:rPr>
          <w:rFonts w:hint="eastAsia" w:ascii="宋体" w:hAnsi="宋体" w:cs="宋体"/>
          <w:sz w:val="24"/>
        </w:rPr>
        <w:t>1.3.3服务：系指根据本磋商文件规定供应商须承担的设计服务以及其他类似的义务等。</w:t>
      </w:r>
    </w:p>
    <w:p>
      <w:pPr>
        <w:spacing w:line="360" w:lineRule="auto"/>
        <w:ind w:firstLine="480" w:firstLineChars="200"/>
        <w:rPr>
          <w:rFonts w:ascii="宋体" w:hAnsi="宋体" w:cs="宋体"/>
          <w:sz w:val="24"/>
        </w:rPr>
      </w:pPr>
      <w:r>
        <w:rPr>
          <w:rFonts w:hint="eastAsia" w:ascii="宋体" w:hAnsi="宋体" w:cs="宋体"/>
          <w:sz w:val="24"/>
        </w:rPr>
        <w:t>1.3.4供应商：供应商是响应磋商文件、参加磋商竞争的中华人民共和国境内的法人、其他组织。</w:t>
      </w:r>
    </w:p>
    <w:p>
      <w:pPr>
        <w:spacing w:line="360" w:lineRule="auto"/>
        <w:ind w:firstLine="480" w:firstLineChars="200"/>
        <w:rPr>
          <w:rFonts w:ascii="宋体" w:hAnsi="宋体" w:cs="宋体"/>
          <w:sz w:val="24"/>
        </w:rPr>
      </w:pPr>
      <w:r>
        <w:rPr>
          <w:rFonts w:hint="eastAsia" w:ascii="宋体" w:hAnsi="宋体" w:cs="宋体"/>
          <w:sz w:val="24"/>
        </w:rPr>
        <w:t>1.3.5响应文件：指供应商根据磋商文件提交的所有文件。</w:t>
      </w:r>
    </w:p>
    <w:p>
      <w:pPr>
        <w:spacing w:line="360" w:lineRule="auto"/>
        <w:ind w:firstLine="480" w:firstLineChars="200"/>
        <w:rPr>
          <w:rFonts w:ascii="宋体" w:hAnsi="宋体" w:cs="宋体"/>
          <w:sz w:val="24"/>
        </w:rPr>
      </w:pPr>
      <w:r>
        <w:rPr>
          <w:rFonts w:hint="eastAsia" w:ascii="宋体" w:hAnsi="宋体" w:cs="宋体"/>
          <w:sz w:val="24"/>
        </w:rPr>
        <w:t>1.3.6磋商小组：依据</w:t>
      </w:r>
      <w:r>
        <w:rPr>
          <w:rFonts w:hint="eastAsia" w:ascii="宋体" w:hAnsi="宋体" w:cs="宋体"/>
          <w:sz w:val="24"/>
          <w:lang w:bidi="en-US"/>
        </w:rPr>
        <w:t>《中华人民共和国政府采购法》及有关法律、法规的规定依法组建的专门负责本次评标工作的临时机构</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1.3.7偏离：响应文件的响应相对于磋商文件要求的偏差，该偏差优于磋商文件要求的为正偏离；劣于的，为负偏离。</w:t>
      </w:r>
    </w:p>
    <w:p>
      <w:pPr>
        <w:spacing w:line="360" w:lineRule="auto"/>
        <w:ind w:firstLine="480" w:firstLineChars="200"/>
        <w:rPr>
          <w:rFonts w:ascii="宋体" w:hAnsi="宋体" w:cs="宋体"/>
          <w:sz w:val="24"/>
        </w:rPr>
      </w:pPr>
      <w:r>
        <w:rPr>
          <w:rFonts w:hint="eastAsia" w:ascii="宋体" w:hAnsi="宋体" w:cs="宋体"/>
          <w:sz w:val="24"/>
        </w:rPr>
        <w:t>1.3.8“日期”或“天”：指日历天。</w:t>
      </w:r>
    </w:p>
    <w:p>
      <w:pPr>
        <w:spacing w:line="360" w:lineRule="auto"/>
        <w:ind w:firstLine="480" w:firstLineChars="200"/>
        <w:rPr>
          <w:rFonts w:ascii="宋体" w:hAnsi="宋体" w:cs="宋体"/>
          <w:sz w:val="24"/>
        </w:rPr>
      </w:pPr>
      <w:r>
        <w:rPr>
          <w:rFonts w:hint="eastAsia" w:ascii="宋体" w:hAnsi="宋体" w:cs="宋体"/>
          <w:sz w:val="24"/>
        </w:rPr>
        <w:t>1.3.9合同：指依据本次服务采购招标结果签订的协议或合约文件。</w:t>
      </w:r>
    </w:p>
    <w:p>
      <w:pPr>
        <w:spacing w:line="360" w:lineRule="auto"/>
        <w:ind w:firstLine="480" w:firstLineChars="200"/>
        <w:rPr>
          <w:rFonts w:ascii="宋体" w:hAnsi="宋体" w:cs="宋体"/>
          <w:sz w:val="24"/>
        </w:rPr>
      </w:pPr>
      <w:r>
        <w:rPr>
          <w:rFonts w:hint="eastAsia" w:ascii="宋体" w:hAnsi="宋体" w:cs="宋体"/>
          <w:sz w:val="24"/>
        </w:rPr>
        <w:t>1.3.10磋商文件中的标题或题名仅起引导作用，而不应视为对磋商文件内容的理解和解释。</w:t>
      </w:r>
    </w:p>
    <w:bookmarkEnd w:id="34"/>
    <w:bookmarkEnd w:id="35"/>
    <w:bookmarkEnd w:id="36"/>
    <w:p>
      <w:pPr>
        <w:spacing w:line="360" w:lineRule="auto"/>
        <w:rPr>
          <w:rFonts w:hint="eastAsia" w:ascii="宋体" w:hAnsi="宋体" w:eastAsia="宋体" w:cs="宋体"/>
          <w:b/>
          <w:sz w:val="24"/>
          <w:lang w:eastAsia="zh-CN"/>
        </w:rPr>
      </w:pPr>
      <w:bookmarkStart w:id="65" w:name="_Toc16470"/>
      <w:bookmarkStart w:id="66" w:name="_Toc485131158"/>
      <w:bookmarkStart w:id="67" w:name="_Toc10971"/>
      <w:bookmarkStart w:id="68" w:name="_Toc14043"/>
      <w:bookmarkStart w:id="69" w:name="_Toc144974500"/>
      <w:bookmarkStart w:id="70" w:name="_Toc12752"/>
      <w:bookmarkStart w:id="71" w:name="_Toc466298095"/>
      <w:bookmarkStart w:id="72" w:name="_Toc318450678"/>
      <w:bookmarkStart w:id="73" w:name="_Toc152042308"/>
      <w:bookmarkStart w:id="74" w:name="_Toc21766"/>
      <w:bookmarkStart w:id="75" w:name="_Toc19363"/>
      <w:bookmarkStart w:id="76" w:name="_Toc455867772"/>
      <w:bookmarkStart w:id="77" w:name="_Toc152045532"/>
      <w:bookmarkStart w:id="78" w:name="_Toc27407"/>
      <w:bookmarkStart w:id="79" w:name="_Toc455080112"/>
      <w:r>
        <w:rPr>
          <w:rFonts w:hint="eastAsia" w:ascii="宋体" w:hAnsi="宋体" w:cs="宋体"/>
          <w:b/>
          <w:sz w:val="24"/>
        </w:rPr>
        <w:t>1.4 采购内容、数量及标段划分，</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hint="eastAsia" w:ascii="宋体" w:hAnsi="宋体" w:cs="宋体"/>
          <w:b/>
          <w:sz w:val="24"/>
          <w:lang w:eastAsia="zh-CN"/>
        </w:rPr>
        <w:t>交货期</w:t>
      </w:r>
    </w:p>
    <w:p>
      <w:pPr>
        <w:spacing w:line="360" w:lineRule="auto"/>
        <w:ind w:firstLine="480" w:firstLineChars="200"/>
        <w:rPr>
          <w:rFonts w:ascii="宋体" w:hAnsi="宋体" w:cs="宋体"/>
          <w:sz w:val="24"/>
        </w:rPr>
      </w:pPr>
      <w:r>
        <w:rPr>
          <w:rFonts w:hint="eastAsia" w:ascii="宋体" w:hAnsi="宋体" w:cs="宋体"/>
          <w:sz w:val="24"/>
        </w:rPr>
        <w:t>1.4.1 本次采购内容、数量及标段划分：见供应商须知前附表。</w:t>
      </w:r>
    </w:p>
    <w:p>
      <w:pPr>
        <w:spacing w:line="360" w:lineRule="auto"/>
        <w:ind w:firstLine="480" w:firstLineChars="200"/>
        <w:rPr>
          <w:rFonts w:ascii="宋体" w:hAnsi="宋体" w:cs="宋体"/>
          <w:sz w:val="24"/>
        </w:rPr>
      </w:pPr>
      <w:r>
        <w:rPr>
          <w:rFonts w:hint="eastAsia" w:ascii="宋体" w:hAnsi="宋体" w:cs="宋体"/>
          <w:sz w:val="24"/>
        </w:rPr>
        <w:t>1.4.2 本项目的</w:t>
      </w:r>
      <w:r>
        <w:rPr>
          <w:rFonts w:hint="eastAsia" w:ascii="宋体" w:hAnsi="宋体" w:cs="宋体"/>
          <w:sz w:val="24"/>
          <w:lang w:eastAsia="zh-CN"/>
        </w:rPr>
        <w:t>交货期</w:t>
      </w:r>
      <w:r>
        <w:rPr>
          <w:rFonts w:hint="eastAsia" w:ascii="宋体" w:hAnsi="宋体" w:cs="宋体"/>
          <w:sz w:val="24"/>
        </w:rPr>
        <w:t>：见供应商须知前附表。</w:t>
      </w:r>
    </w:p>
    <w:p>
      <w:pPr>
        <w:spacing w:line="360" w:lineRule="auto"/>
        <w:rPr>
          <w:rFonts w:ascii="宋体" w:hAnsi="宋体" w:cs="宋体"/>
          <w:b/>
          <w:sz w:val="24"/>
        </w:rPr>
      </w:pPr>
      <w:bookmarkStart w:id="80" w:name="_Toc152042310"/>
      <w:bookmarkStart w:id="81" w:name="_Toc144974502"/>
      <w:bookmarkStart w:id="82" w:name="_Toc318450679"/>
      <w:bookmarkStart w:id="83" w:name="_Toc152045534"/>
      <w:bookmarkStart w:id="84" w:name="_Toc485131159"/>
      <w:bookmarkStart w:id="85" w:name="_Toc455080113"/>
      <w:bookmarkStart w:id="86" w:name="_Toc18689"/>
      <w:bookmarkStart w:id="87" w:name="_Toc455867773"/>
      <w:bookmarkStart w:id="88" w:name="_Toc5019"/>
      <w:bookmarkStart w:id="89" w:name="_Toc30588"/>
      <w:bookmarkStart w:id="90" w:name="_Toc4301"/>
      <w:bookmarkStart w:id="91" w:name="_Toc7209"/>
      <w:bookmarkStart w:id="92" w:name="_Toc11063"/>
      <w:bookmarkStart w:id="93" w:name="_Toc22643"/>
      <w:bookmarkStart w:id="94" w:name="_Toc466298096"/>
      <w:r>
        <w:rPr>
          <w:rFonts w:hint="eastAsia" w:ascii="宋体" w:hAnsi="宋体" w:cs="宋体"/>
          <w:b/>
          <w:sz w:val="24"/>
        </w:rPr>
        <w:t xml:space="preserve">1.5 </w:t>
      </w:r>
      <w:bookmarkEnd w:id="80"/>
      <w:bookmarkEnd w:id="81"/>
      <w:bookmarkEnd w:id="82"/>
      <w:bookmarkEnd w:id="83"/>
      <w:r>
        <w:rPr>
          <w:rFonts w:hint="eastAsia" w:ascii="宋体" w:hAnsi="宋体" w:cs="宋体"/>
          <w:b/>
          <w:sz w:val="24"/>
        </w:rPr>
        <w:t>供应商资质条件和能力</w:t>
      </w:r>
      <w:bookmarkEnd w:id="84"/>
      <w:bookmarkEnd w:id="85"/>
      <w:bookmarkEnd w:id="86"/>
      <w:bookmarkEnd w:id="87"/>
      <w:bookmarkEnd w:id="88"/>
      <w:bookmarkEnd w:id="89"/>
      <w:bookmarkEnd w:id="90"/>
      <w:bookmarkEnd w:id="91"/>
      <w:bookmarkEnd w:id="92"/>
      <w:bookmarkEnd w:id="93"/>
      <w:bookmarkEnd w:id="94"/>
    </w:p>
    <w:p>
      <w:pPr>
        <w:spacing w:line="360" w:lineRule="auto"/>
        <w:ind w:firstLine="480" w:firstLineChars="200"/>
        <w:rPr>
          <w:rFonts w:ascii="宋体" w:hAnsi="宋体" w:cs="宋体"/>
          <w:sz w:val="24"/>
        </w:rPr>
      </w:pPr>
      <w:r>
        <w:rPr>
          <w:rFonts w:hint="eastAsia" w:ascii="宋体" w:hAnsi="宋体" w:cs="宋体"/>
          <w:sz w:val="24"/>
        </w:rPr>
        <w:t>1.5.1供应商资质及能力要求：见供应商须知前附表。</w:t>
      </w:r>
    </w:p>
    <w:p>
      <w:pPr>
        <w:spacing w:line="360" w:lineRule="auto"/>
        <w:ind w:firstLine="480" w:firstLineChars="200"/>
        <w:rPr>
          <w:rFonts w:ascii="宋体" w:hAnsi="宋体" w:cs="宋体"/>
          <w:sz w:val="24"/>
        </w:rPr>
      </w:pPr>
      <w:r>
        <w:rPr>
          <w:rFonts w:hint="eastAsia" w:ascii="宋体" w:hAnsi="宋体" w:cs="宋体"/>
          <w:sz w:val="24"/>
        </w:rPr>
        <w:t>1.5.2是否接受联合体投标：见供应商须知前附表。</w:t>
      </w:r>
    </w:p>
    <w:p>
      <w:pPr>
        <w:spacing w:line="360" w:lineRule="auto"/>
        <w:rPr>
          <w:rFonts w:ascii="宋体" w:hAnsi="宋体" w:cs="宋体"/>
          <w:b/>
          <w:sz w:val="24"/>
        </w:rPr>
      </w:pPr>
      <w:bookmarkStart w:id="95" w:name="_Toc485131160"/>
      <w:bookmarkStart w:id="96" w:name="_Toc16889"/>
      <w:bookmarkStart w:id="97" w:name="_Toc455867774"/>
      <w:bookmarkStart w:id="98" w:name="_Toc26780"/>
      <w:bookmarkStart w:id="99" w:name="_Toc651"/>
      <w:bookmarkStart w:id="100" w:name="_Toc5162"/>
      <w:bookmarkStart w:id="101" w:name="_Toc12403"/>
      <w:bookmarkStart w:id="102" w:name="_Toc455080114"/>
      <w:bookmarkStart w:id="103" w:name="_Toc152045535"/>
      <w:bookmarkStart w:id="104" w:name="_Toc466298097"/>
      <w:bookmarkStart w:id="105" w:name="_Toc318450680"/>
      <w:bookmarkStart w:id="106" w:name="_Toc981"/>
      <w:bookmarkStart w:id="107" w:name="_Toc152042311"/>
      <w:bookmarkStart w:id="108" w:name="_Toc31854"/>
      <w:bookmarkStart w:id="109" w:name="_Toc144974503"/>
      <w:r>
        <w:rPr>
          <w:rFonts w:hint="eastAsia" w:ascii="宋体" w:hAnsi="宋体" w:cs="宋体"/>
          <w:b/>
          <w:sz w:val="24"/>
        </w:rPr>
        <w:t>1.6 费用承担</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spacing w:line="360" w:lineRule="auto"/>
        <w:ind w:firstLine="480" w:firstLineChars="200"/>
        <w:rPr>
          <w:rFonts w:ascii="宋体" w:hAnsi="宋体" w:cs="宋体"/>
          <w:sz w:val="24"/>
        </w:rPr>
      </w:pPr>
      <w:r>
        <w:rPr>
          <w:rFonts w:hint="eastAsia" w:ascii="宋体" w:hAnsi="宋体" w:cs="宋体"/>
          <w:sz w:val="24"/>
        </w:rPr>
        <w:t>供应商准备和参加磋商活动发生的费用自理，不论磋商的结果如何，采购人和采购代理机构在任何情况下均无义务和责任承担这些费用。</w:t>
      </w:r>
    </w:p>
    <w:p>
      <w:pPr>
        <w:spacing w:line="360" w:lineRule="auto"/>
        <w:rPr>
          <w:rFonts w:ascii="宋体" w:hAnsi="宋体" w:cs="宋体"/>
          <w:b/>
          <w:sz w:val="24"/>
        </w:rPr>
      </w:pPr>
      <w:bookmarkStart w:id="110" w:name="_Toc22946"/>
      <w:bookmarkStart w:id="111" w:name="_Toc8055"/>
      <w:bookmarkStart w:id="112" w:name="_Toc152045536"/>
      <w:bookmarkStart w:id="113" w:name="_Toc2622"/>
      <w:bookmarkStart w:id="114" w:name="_Toc466298098"/>
      <w:bookmarkStart w:id="115" w:name="_Toc455080115"/>
      <w:bookmarkStart w:id="116" w:name="_Toc32053"/>
      <w:bookmarkStart w:id="117" w:name="_Toc455867775"/>
      <w:bookmarkStart w:id="118" w:name="_Toc485131161"/>
      <w:bookmarkStart w:id="119" w:name="_Toc318450681"/>
      <w:bookmarkStart w:id="120" w:name="_Toc20145"/>
      <w:bookmarkStart w:id="121" w:name="_Toc144974504"/>
      <w:bookmarkStart w:id="122" w:name="_Toc5402"/>
      <w:bookmarkStart w:id="123" w:name="_Toc6014"/>
      <w:bookmarkStart w:id="124" w:name="_Toc152042312"/>
      <w:r>
        <w:rPr>
          <w:rFonts w:hint="eastAsia" w:ascii="宋体" w:hAnsi="宋体" w:cs="宋体"/>
          <w:b/>
          <w:sz w:val="24"/>
        </w:rPr>
        <w:t>1.7 保密</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spacing w:line="360" w:lineRule="auto"/>
        <w:ind w:firstLine="480" w:firstLineChars="200"/>
        <w:rPr>
          <w:rFonts w:ascii="宋体" w:hAnsi="宋体" w:cs="宋体"/>
          <w:sz w:val="24"/>
        </w:rPr>
      </w:pPr>
      <w:r>
        <w:rPr>
          <w:rFonts w:hint="eastAsia" w:ascii="宋体" w:hAnsi="宋体" w:cs="宋体"/>
          <w:sz w:val="24"/>
        </w:rPr>
        <w:t xml:space="preserve">参与磋商活动的各方应对磋商文件和响应文件中的商业和技术等秘密保密，违者应对由此造成的后果承担法律责任。 </w:t>
      </w:r>
    </w:p>
    <w:p>
      <w:pPr>
        <w:spacing w:line="360" w:lineRule="auto"/>
        <w:rPr>
          <w:rFonts w:ascii="宋体" w:hAnsi="宋体" w:cs="宋体"/>
          <w:b/>
          <w:sz w:val="24"/>
        </w:rPr>
      </w:pPr>
      <w:bookmarkStart w:id="125" w:name="_Toc144974505"/>
      <w:bookmarkStart w:id="126" w:name="_Toc21089"/>
      <w:bookmarkStart w:id="127" w:name="_Toc30583"/>
      <w:bookmarkStart w:id="128" w:name="_Toc30747"/>
      <w:bookmarkStart w:id="129" w:name="_Toc455080116"/>
      <w:bookmarkStart w:id="130" w:name="_Toc485131162"/>
      <w:bookmarkStart w:id="131" w:name="_Toc455867776"/>
      <w:bookmarkStart w:id="132" w:name="_Toc152045537"/>
      <w:bookmarkStart w:id="133" w:name="_Toc25517"/>
      <w:bookmarkStart w:id="134" w:name="_Toc14775"/>
      <w:bookmarkStart w:id="135" w:name="_Toc7440"/>
      <w:bookmarkStart w:id="136" w:name="_Toc318450682"/>
      <w:bookmarkStart w:id="137" w:name="_Toc3628"/>
      <w:bookmarkStart w:id="138" w:name="_Toc466298099"/>
      <w:bookmarkStart w:id="139" w:name="_Toc152042313"/>
      <w:r>
        <w:rPr>
          <w:rFonts w:hint="eastAsia" w:ascii="宋体" w:hAnsi="宋体" w:cs="宋体"/>
          <w:b/>
          <w:sz w:val="24"/>
        </w:rPr>
        <w:t>1.8 语言</w:t>
      </w:r>
      <w:bookmarkEnd w:id="125"/>
      <w:r>
        <w:rPr>
          <w:rFonts w:hint="eastAsia" w:ascii="宋体" w:hAnsi="宋体" w:cs="宋体"/>
          <w:b/>
          <w:sz w:val="24"/>
        </w:rPr>
        <w:t>文字</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spacing w:line="360" w:lineRule="auto"/>
        <w:ind w:firstLine="480" w:firstLineChars="200"/>
        <w:rPr>
          <w:rFonts w:ascii="宋体" w:hAnsi="宋体" w:cs="宋体"/>
          <w:sz w:val="24"/>
        </w:rPr>
      </w:pPr>
      <w:r>
        <w:rPr>
          <w:rFonts w:hint="eastAsia" w:ascii="宋体" w:hAnsi="宋体" w:cs="宋体"/>
          <w:sz w:val="24"/>
        </w:rPr>
        <w:t>除专用术语外，与磋商有关的语言均使用中文。必要时专用术语应附有中文注释，</w:t>
      </w:r>
      <w:r>
        <w:rPr>
          <w:rFonts w:hint="eastAsia" w:ascii="宋体" w:hAnsi="宋体" w:cs="宋体"/>
          <w:sz w:val="24"/>
          <w:lang w:bidi="en-US"/>
        </w:rPr>
        <w:t>对不同文字文本响应文件的解释发生异议的，以中文文本为准。</w:t>
      </w:r>
    </w:p>
    <w:p>
      <w:pPr>
        <w:spacing w:line="360" w:lineRule="auto"/>
        <w:rPr>
          <w:rFonts w:ascii="宋体" w:hAnsi="宋体" w:cs="宋体"/>
          <w:b/>
          <w:sz w:val="24"/>
        </w:rPr>
      </w:pPr>
      <w:bookmarkStart w:id="140" w:name="_Toc318450683"/>
      <w:bookmarkStart w:id="141" w:name="_Toc4237"/>
      <w:bookmarkStart w:id="142" w:name="_Toc485131163"/>
      <w:bookmarkStart w:id="143" w:name="_Toc24337"/>
      <w:bookmarkStart w:id="144" w:name="_Toc22378"/>
      <w:bookmarkStart w:id="145" w:name="_Toc144974506"/>
      <w:bookmarkStart w:id="146" w:name="_Toc9446"/>
      <w:bookmarkStart w:id="147" w:name="_Toc455867777"/>
      <w:bookmarkStart w:id="148" w:name="_Toc32507"/>
      <w:bookmarkStart w:id="149" w:name="_Toc2702"/>
      <w:bookmarkStart w:id="150" w:name="_Toc152045538"/>
      <w:bookmarkStart w:id="151" w:name="_Toc9270"/>
      <w:bookmarkStart w:id="152" w:name="_Toc455080117"/>
      <w:bookmarkStart w:id="153" w:name="_Toc152042314"/>
      <w:bookmarkStart w:id="154" w:name="_Toc466298100"/>
      <w:r>
        <w:rPr>
          <w:rFonts w:hint="eastAsia" w:ascii="宋体" w:hAnsi="宋体" w:cs="宋体"/>
          <w:b/>
          <w:sz w:val="24"/>
        </w:rPr>
        <w:t>1.9 计量单位</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spacing w:line="360" w:lineRule="auto"/>
        <w:ind w:firstLine="480" w:firstLineChars="200"/>
        <w:rPr>
          <w:rFonts w:ascii="宋体" w:hAnsi="宋体" w:cs="宋体"/>
          <w:sz w:val="24"/>
        </w:rPr>
      </w:pPr>
      <w:r>
        <w:rPr>
          <w:rFonts w:hint="eastAsia" w:ascii="宋体" w:hAnsi="宋体" w:cs="宋体"/>
          <w:sz w:val="24"/>
        </w:rPr>
        <w:t>所有计量均采用中华人民共和国法定计量单位。</w:t>
      </w:r>
    </w:p>
    <w:p>
      <w:pPr>
        <w:spacing w:line="360" w:lineRule="auto"/>
        <w:rPr>
          <w:rFonts w:ascii="宋体" w:hAnsi="宋体" w:cs="宋体"/>
          <w:b/>
          <w:sz w:val="24"/>
        </w:rPr>
      </w:pPr>
      <w:bookmarkStart w:id="155" w:name="_Toc466298101"/>
      <w:bookmarkStart w:id="156" w:name="_Toc338"/>
      <w:bookmarkStart w:id="157" w:name="_Toc455867778"/>
      <w:bookmarkStart w:id="158" w:name="_Toc318450684"/>
      <w:bookmarkStart w:id="159" w:name="_Toc144974508"/>
      <w:bookmarkStart w:id="160" w:name="_Toc12027"/>
      <w:bookmarkStart w:id="161" w:name="_Toc27570"/>
      <w:bookmarkStart w:id="162" w:name="_Toc485131164"/>
      <w:bookmarkStart w:id="163" w:name="_Toc284"/>
      <w:bookmarkStart w:id="164" w:name="_Toc455080118"/>
      <w:bookmarkStart w:id="165" w:name="_Toc7080"/>
      <w:bookmarkStart w:id="166" w:name="_Toc152042316"/>
      <w:bookmarkStart w:id="167" w:name="_Toc2508"/>
      <w:bookmarkStart w:id="168" w:name="_Toc13675"/>
      <w:bookmarkStart w:id="169" w:name="_Toc152045540"/>
      <w:r>
        <w:rPr>
          <w:rFonts w:hint="eastAsia" w:ascii="宋体" w:hAnsi="宋体" w:cs="宋体"/>
          <w:b/>
          <w:sz w:val="24"/>
        </w:rPr>
        <w:t>1.10 投标预备会</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spacing w:line="360" w:lineRule="auto"/>
        <w:ind w:firstLine="480" w:firstLineChars="200"/>
        <w:rPr>
          <w:rFonts w:ascii="宋体" w:hAnsi="宋体" w:cs="宋体"/>
          <w:sz w:val="24"/>
        </w:rPr>
      </w:pPr>
      <w:r>
        <w:rPr>
          <w:rFonts w:hint="eastAsia" w:ascii="宋体" w:hAnsi="宋体" w:cs="宋体"/>
          <w:sz w:val="24"/>
        </w:rPr>
        <w:t>1.10.1供应商须知前附表规定召开磋商预备会的，采购人按供应商须知前附表规定的时间和地点召开磋商预备会，澄清供应商提出的问题。</w:t>
      </w:r>
    </w:p>
    <w:p>
      <w:pPr>
        <w:spacing w:line="360" w:lineRule="auto"/>
        <w:ind w:firstLine="480" w:firstLineChars="200"/>
        <w:rPr>
          <w:rFonts w:ascii="宋体" w:hAnsi="宋体" w:cs="宋体"/>
          <w:sz w:val="24"/>
        </w:rPr>
      </w:pPr>
      <w:r>
        <w:rPr>
          <w:rFonts w:hint="eastAsia" w:ascii="宋体" w:hAnsi="宋体" w:cs="宋体"/>
          <w:sz w:val="24"/>
        </w:rPr>
        <w:t>1.10.2 供应商应在供应商须知前附表规定的时间前，以书面形式将提出的问题送达采购人，以便采购人在会议期间澄清。</w:t>
      </w:r>
    </w:p>
    <w:p>
      <w:pPr>
        <w:spacing w:line="360" w:lineRule="auto"/>
        <w:ind w:firstLine="480" w:firstLineChars="200"/>
        <w:rPr>
          <w:rFonts w:ascii="宋体" w:hAnsi="宋体" w:cs="宋体"/>
          <w:sz w:val="24"/>
        </w:rPr>
      </w:pPr>
      <w:r>
        <w:rPr>
          <w:rFonts w:hint="eastAsia" w:ascii="宋体" w:hAnsi="宋体" w:cs="宋体"/>
          <w:sz w:val="24"/>
        </w:rPr>
        <w:t>1.10.3 磋商预备会后，采购人在供应商须知前附表规定的时间内，将对供应商所提问题的澄清，以书面方式通知所有购买磋商文件的供应商。该澄清内容为磋商文件的组成部分。</w:t>
      </w:r>
    </w:p>
    <w:p>
      <w:pPr>
        <w:spacing w:line="360" w:lineRule="auto"/>
        <w:rPr>
          <w:rFonts w:ascii="宋体" w:hAnsi="宋体" w:cs="宋体"/>
          <w:b/>
          <w:sz w:val="24"/>
        </w:rPr>
      </w:pPr>
      <w:bookmarkStart w:id="170" w:name="_Toc152045541"/>
      <w:bookmarkStart w:id="171" w:name="_Toc466298102"/>
      <w:bookmarkStart w:id="172" w:name="_Toc455080119"/>
      <w:bookmarkStart w:id="173" w:name="_Toc318450685"/>
      <w:bookmarkStart w:id="174" w:name="_Toc455867779"/>
      <w:bookmarkStart w:id="175" w:name="_Toc23635"/>
      <w:bookmarkStart w:id="176" w:name="_Toc152042317"/>
      <w:bookmarkStart w:id="177" w:name="_Toc12562"/>
      <w:bookmarkStart w:id="178" w:name="_Toc24262"/>
      <w:bookmarkStart w:id="179" w:name="_Toc485131165"/>
      <w:bookmarkStart w:id="180" w:name="_Toc144974509"/>
      <w:bookmarkStart w:id="181" w:name="_Toc19219"/>
      <w:bookmarkStart w:id="182" w:name="_Toc23678"/>
      <w:bookmarkStart w:id="183" w:name="_Toc32757"/>
      <w:bookmarkStart w:id="184" w:name="_Toc11744"/>
      <w:r>
        <w:rPr>
          <w:rFonts w:hint="eastAsia" w:ascii="宋体" w:hAnsi="宋体" w:cs="宋体"/>
          <w:b/>
          <w:sz w:val="24"/>
        </w:rPr>
        <w:t>1.11分包</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ind w:firstLine="648" w:firstLineChars="270"/>
        <w:rPr>
          <w:rFonts w:ascii="宋体" w:hAnsi="宋体" w:cs="宋体"/>
          <w:sz w:val="24"/>
        </w:rPr>
      </w:pPr>
      <w:r>
        <w:rPr>
          <w:rFonts w:hint="eastAsia" w:ascii="宋体" w:hAnsi="宋体" w:cs="宋体"/>
          <w:sz w:val="24"/>
        </w:rPr>
        <w:t>是否允许分包：见供应商须知前附表。</w:t>
      </w:r>
    </w:p>
    <w:p>
      <w:pPr>
        <w:spacing w:line="360" w:lineRule="auto"/>
        <w:rPr>
          <w:rFonts w:ascii="宋体" w:hAnsi="宋体" w:cs="宋体"/>
          <w:b/>
          <w:sz w:val="24"/>
        </w:rPr>
      </w:pPr>
      <w:bookmarkStart w:id="185" w:name="_Toc144974510"/>
      <w:bookmarkStart w:id="186" w:name="_Toc152045542"/>
      <w:bookmarkStart w:id="187" w:name="_Toc152042318"/>
      <w:bookmarkStart w:id="188" w:name="_Toc455080120"/>
      <w:r>
        <w:rPr>
          <w:rFonts w:hint="eastAsia" w:ascii="宋体" w:hAnsi="宋体" w:cs="宋体"/>
          <w:b/>
          <w:sz w:val="24"/>
        </w:rPr>
        <w:t xml:space="preserve">2. </w:t>
      </w:r>
      <w:bookmarkEnd w:id="185"/>
      <w:bookmarkEnd w:id="186"/>
      <w:bookmarkEnd w:id="187"/>
      <w:r>
        <w:rPr>
          <w:rFonts w:hint="eastAsia" w:ascii="宋体" w:hAnsi="宋体" w:cs="宋体"/>
          <w:b/>
          <w:sz w:val="24"/>
        </w:rPr>
        <w:t>磋商文件</w:t>
      </w:r>
      <w:bookmarkEnd w:id="188"/>
    </w:p>
    <w:p>
      <w:pPr>
        <w:spacing w:line="360" w:lineRule="auto"/>
        <w:rPr>
          <w:rFonts w:ascii="宋体" w:hAnsi="宋体" w:cs="宋体"/>
          <w:b/>
          <w:sz w:val="24"/>
        </w:rPr>
      </w:pPr>
      <w:bookmarkStart w:id="189" w:name="_Toc9780"/>
      <w:bookmarkStart w:id="190" w:name="_Toc11567"/>
      <w:bookmarkStart w:id="191" w:name="_Toc144974511"/>
      <w:bookmarkStart w:id="192" w:name="_Toc152042319"/>
      <w:bookmarkStart w:id="193" w:name="_Toc318450687"/>
      <w:bookmarkStart w:id="194" w:name="_Toc455080121"/>
      <w:bookmarkStart w:id="195" w:name="_Toc11599"/>
      <w:bookmarkStart w:id="196" w:name="_Toc12640"/>
      <w:bookmarkStart w:id="197" w:name="_Toc485131167"/>
      <w:bookmarkStart w:id="198" w:name="_Toc6269"/>
      <w:bookmarkStart w:id="199" w:name="_Toc152045543"/>
      <w:bookmarkStart w:id="200" w:name="_Toc32711"/>
      <w:bookmarkStart w:id="201" w:name="_Toc466298104"/>
      <w:bookmarkStart w:id="202" w:name="_Toc455867781"/>
      <w:bookmarkStart w:id="203" w:name="_Toc1008"/>
      <w:r>
        <w:rPr>
          <w:rFonts w:hint="eastAsia" w:ascii="宋体" w:hAnsi="宋体" w:cs="宋体"/>
          <w:b/>
          <w:sz w:val="24"/>
        </w:rPr>
        <w:t>2.1 磋商文件的组成</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spacing w:line="360" w:lineRule="auto"/>
        <w:rPr>
          <w:rFonts w:ascii="宋体" w:hAnsi="宋体" w:cs="宋体"/>
          <w:sz w:val="24"/>
        </w:rPr>
      </w:pPr>
      <w:r>
        <w:rPr>
          <w:rFonts w:hint="eastAsia" w:ascii="宋体" w:hAnsi="宋体" w:cs="宋体"/>
          <w:sz w:val="24"/>
        </w:rPr>
        <w:t>　　本磋商文件包括：</w:t>
      </w:r>
    </w:p>
    <w:p>
      <w:pPr>
        <w:spacing w:line="360" w:lineRule="auto"/>
        <w:ind w:firstLine="480" w:firstLineChars="200"/>
        <w:rPr>
          <w:rFonts w:ascii="宋体" w:hAnsi="宋体" w:cs="宋体"/>
          <w:sz w:val="24"/>
        </w:rPr>
      </w:pPr>
      <w:r>
        <w:rPr>
          <w:rFonts w:hint="eastAsia" w:ascii="宋体" w:hAnsi="宋体" w:cs="宋体"/>
          <w:sz w:val="24"/>
        </w:rPr>
        <w:t>第一章  竞争性磋商公告</w:t>
      </w:r>
    </w:p>
    <w:p>
      <w:pPr>
        <w:spacing w:line="360" w:lineRule="auto"/>
        <w:ind w:firstLine="480" w:firstLineChars="200"/>
        <w:rPr>
          <w:rFonts w:ascii="宋体" w:hAnsi="宋体" w:cs="宋体"/>
          <w:sz w:val="24"/>
        </w:rPr>
      </w:pPr>
      <w:r>
        <w:rPr>
          <w:rFonts w:hint="eastAsia" w:ascii="宋体" w:hAnsi="宋体" w:cs="宋体"/>
          <w:sz w:val="24"/>
        </w:rPr>
        <w:t>第二章  供应商须知及供应商须知前附表</w:t>
      </w:r>
    </w:p>
    <w:p>
      <w:pPr>
        <w:spacing w:line="360" w:lineRule="auto"/>
        <w:ind w:firstLine="480" w:firstLineChars="200"/>
        <w:rPr>
          <w:rFonts w:ascii="宋体" w:hAnsi="宋体" w:cs="宋体"/>
          <w:sz w:val="24"/>
        </w:rPr>
      </w:pPr>
      <w:r>
        <w:rPr>
          <w:rFonts w:hint="eastAsia" w:ascii="宋体" w:hAnsi="宋体" w:cs="宋体"/>
          <w:sz w:val="24"/>
        </w:rPr>
        <w:t>第三章</w:t>
      </w:r>
      <w:r>
        <w:rPr>
          <w:rFonts w:hint="eastAsia" w:ascii="宋体" w:hAnsi="宋体" w:cs="宋体"/>
          <w:sz w:val="24"/>
        </w:rPr>
        <w:tab/>
      </w:r>
      <w:r>
        <w:rPr>
          <w:rFonts w:hint="eastAsia" w:ascii="宋体" w:hAnsi="宋体" w:cs="宋体"/>
          <w:sz w:val="24"/>
        </w:rPr>
        <w:t xml:space="preserve">  评分办法</w:t>
      </w:r>
    </w:p>
    <w:p>
      <w:pPr>
        <w:spacing w:line="360" w:lineRule="auto"/>
        <w:ind w:firstLine="480" w:firstLineChars="200"/>
        <w:rPr>
          <w:rFonts w:ascii="宋体" w:hAnsi="宋体" w:cs="宋体"/>
          <w:sz w:val="24"/>
        </w:rPr>
      </w:pPr>
      <w:r>
        <w:rPr>
          <w:rFonts w:hint="eastAsia" w:ascii="宋体" w:hAnsi="宋体" w:cs="宋体"/>
          <w:sz w:val="24"/>
        </w:rPr>
        <w:t>第四章</w:t>
      </w:r>
      <w:r>
        <w:rPr>
          <w:rFonts w:hint="eastAsia" w:ascii="宋体" w:hAnsi="宋体" w:cs="宋体"/>
          <w:sz w:val="24"/>
        </w:rPr>
        <w:tab/>
      </w:r>
      <w:r>
        <w:rPr>
          <w:rFonts w:hint="eastAsia" w:ascii="宋体" w:hAnsi="宋体" w:cs="宋体"/>
          <w:sz w:val="24"/>
        </w:rPr>
        <w:t xml:space="preserve"> 合同文本</w:t>
      </w:r>
    </w:p>
    <w:p>
      <w:pPr>
        <w:spacing w:line="360" w:lineRule="auto"/>
        <w:ind w:firstLine="480" w:firstLineChars="200"/>
        <w:rPr>
          <w:rFonts w:ascii="宋体" w:hAnsi="宋体" w:cs="宋体"/>
          <w:sz w:val="24"/>
        </w:rPr>
      </w:pPr>
      <w:r>
        <w:rPr>
          <w:rFonts w:hint="eastAsia" w:ascii="宋体" w:hAnsi="宋体" w:cs="宋体"/>
          <w:sz w:val="24"/>
        </w:rPr>
        <w:t>第五章</w:t>
      </w:r>
      <w:r>
        <w:rPr>
          <w:rFonts w:hint="eastAsia" w:ascii="宋体" w:hAnsi="宋体" w:cs="宋体"/>
          <w:sz w:val="24"/>
        </w:rPr>
        <w:tab/>
      </w:r>
      <w:r>
        <w:rPr>
          <w:rFonts w:hint="eastAsia" w:ascii="宋体" w:hAnsi="宋体" w:cs="宋体"/>
          <w:sz w:val="24"/>
        </w:rPr>
        <w:t xml:space="preserve"> 服务需求及要求</w:t>
      </w:r>
    </w:p>
    <w:p>
      <w:pPr>
        <w:spacing w:line="360" w:lineRule="auto"/>
        <w:ind w:firstLine="480" w:firstLineChars="200"/>
        <w:rPr>
          <w:rFonts w:ascii="宋体" w:hAnsi="宋体" w:cs="宋体"/>
          <w:sz w:val="24"/>
        </w:rPr>
      </w:pPr>
      <w:r>
        <w:rPr>
          <w:rFonts w:hint="eastAsia" w:ascii="宋体" w:hAnsi="宋体" w:cs="宋体"/>
          <w:sz w:val="24"/>
        </w:rPr>
        <w:t>第六章</w:t>
      </w:r>
      <w:r>
        <w:rPr>
          <w:rFonts w:hint="eastAsia" w:ascii="宋体" w:hAnsi="宋体" w:cs="宋体"/>
          <w:sz w:val="24"/>
        </w:rPr>
        <w:tab/>
      </w:r>
      <w:r>
        <w:rPr>
          <w:rFonts w:hint="eastAsia" w:ascii="宋体" w:hAnsi="宋体" w:cs="宋体"/>
          <w:sz w:val="24"/>
        </w:rPr>
        <w:t xml:space="preserve"> 竞争性磋商响应文件格式</w:t>
      </w:r>
    </w:p>
    <w:p>
      <w:pPr>
        <w:spacing w:line="360" w:lineRule="auto"/>
        <w:ind w:firstLine="480" w:firstLineChars="200"/>
        <w:rPr>
          <w:rFonts w:ascii="宋体" w:hAnsi="宋体" w:cs="宋体"/>
          <w:sz w:val="24"/>
        </w:rPr>
      </w:pPr>
      <w:r>
        <w:rPr>
          <w:rFonts w:hint="eastAsia" w:ascii="宋体" w:hAnsi="宋体" w:cs="宋体"/>
          <w:sz w:val="24"/>
        </w:rPr>
        <w:t>根据本章第1.10款、第2.2款和第2.3款对磋商文件所作的澄清、修改，构成磋商文件的组成部分。</w:t>
      </w:r>
    </w:p>
    <w:p>
      <w:pPr>
        <w:spacing w:line="360" w:lineRule="auto"/>
        <w:rPr>
          <w:rFonts w:ascii="宋体" w:hAnsi="宋体" w:cs="宋体"/>
          <w:b/>
          <w:sz w:val="24"/>
        </w:rPr>
      </w:pPr>
      <w:bookmarkStart w:id="204" w:name="_Toc8875"/>
      <w:bookmarkStart w:id="205" w:name="_Toc455867782"/>
      <w:bookmarkStart w:id="206" w:name="_Toc7939"/>
      <w:bookmarkStart w:id="207" w:name="_Toc8943"/>
      <w:bookmarkStart w:id="208" w:name="_Toc485131168"/>
      <w:bookmarkStart w:id="209" w:name="_Toc144974512"/>
      <w:bookmarkStart w:id="210" w:name="_Toc152042320"/>
      <w:bookmarkStart w:id="211" w:name="_Toc318450688"/>
      <w:bookmarkStart w:id="212" w:name="_Toc152045544"/>
      <w:bookmarkStart w:id="213" w:name="_Toc13700"/>
      <w:bookmarkStart w:id="214" w:name="_Toc30393"/>
      <w:bookmarkStart w:id="215" w:name="_Toc17296"/>
      <w:bookmarkStart w:id="216" w:name="_Toc466298105"/>
      <w:bookmarkStart w:id="217" w:name="_Toc455080122"/>
      <w:bookmarkStart w:id="218" w:name="_Toc18661"/>
      <w:r>
        <w:rPr>
          <w:rFonts w:hint="eastAsia" w:ascii="宋体" w:hAnsi="宋体" w:cs="宋体"/>
          <w:b/>
          <w:sz w:val="24"/>
        </w:rPr>
        <w:t>2.2 磋商文件的澄清</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spacing w:line="360" w:lineRule="auto"/>
        <w:ind w:firstLine="480" w:firstLineChars="200"/>
        <w:rPr>
          <w:rFonts w:ascii="宋体" w:hAnsi="宋体" w:cs="宋体"/>
          <w:sz w:val="24"/>
        </w:rPr>
      </w:pPr>
      <w:r>
        <w:rPr>
          <w:rFonts w:hint="eastAsia" w:ascii="宋体" w:hAnsi="宋体" w:cs="宋体"/>
          <w:sz w:val="24"/>
        </w:rPr>
        <w:t>2.2.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否则由此引起的任何后果均由供应商自己承担，采购人与采购代理机构均不承担任何责任。</w:t>
      </w:r>
    </w:p>
    <w:p>
      <w:pPr>
        <w:spacing w:line="360" w:lineRule="auto"/>
        <w:ind w:firstLine="480" w:firstLineChars="200"/>
        <w:rPr>
          <w:rFonts w:ascii="宋体" w:hAnsi="宋体" w:cs="宋体"/>
          <w:sz w:val="24"/>
        </w:rPr>
      </w:pPr>
      <w:r>
        <w:rPr>
          <w:rFonts w:hint="eastAsia" w:ascii="宋体" w:hAnsi="宋体" w:cs="宋体"/>
          <w:sz w:val="24"/>
        </w:rPr>
        <w:t>2.2.2 磋商文件的澄清将在供应商须知前附表规定的提交响应文件截止时间5天前以书面形式发给所有购买磋商文件的供应商，但不指明澄清问题的来源。如果澄清发出的时间距提交响应文件截止时间不足5天，相应延长提交响应文件截止时间。</w:t>
      </w:r>
    </w:p>
    <w:p>
      <w:pPr>
        <w:spacing w:line="360" w:lineRule="auto"/>
        <w:ind w:firstLine="480" w:firstLineChars="200"/>
        <w:rPr>
          <w:rFonts w:ascii="宋体" w:hAnsi="宋体" w:cs="宋体"/>
          <w:sz w:val="24"/>
        </w:rPr>
      </w:pPr>
      <w:r>
        <w:rPr>
          <w:rFonts w:hint="eastAsia" w:ascii="宋体" w:hAnsi="宋体" w:cs="宋体"/>
          <w:sz w:val="24"/>
        </w:rPr>
        <w:t>2.2.3 供应商在收到澄清后，应在供应商须知前附表规定的时间内以书面形式通知采购人，确认已收到该澄清。</w:t>
      </w:r>
    </w:p>
    <w:p>
      <w:pPr>
        <w:spacing w:line="360" w:lineRule="auto"/>
        <w:rPr>
          <w:rFonts w:ascii="宋体" w:hAnsi="宋体" w:cs="宋体"/>
          <w:b/>
          <w:sz w:val="24"/>
        </w:rPr>
      </w:pPr>
      <w:bookmarkStart w:id="219" w:name="_Toc152042321"/>
      <w:bookmarkStart w:id="220" w:name="_Toc144974513"/>
      <w:bookmarkStart w:id="221" w:name="_Toc13617"/>
      <w:bookmarkStart w:id="222" w:name="_Toc11948"/>
      <w:bookmarkStart w:id="223" w:name="_Toc455867783"/>
      <w:bookmarkStart w:id="224" w:name="_Toc2131"/>
      <w:bookmarkStart w:id="225" w:name="_Toc17619"/>
      <w:bookmarkStart w:id="226" w:name="_Toc15473"/>
      <w:bookmarkStart w:id="227" w:name="_Toc14966"/>
      <w:bookmarkStart w:id="228" w:name="_Toc152045545"/>
      <w:bookmarkStart w:id="229" w:name="_Toc318450689"/>
      <w:bookmarkStart w:id="230" w:name="_Toc5907"/>
      <w:bookmarkStart w:id="231" w:name="_Toc466298106"/>
      <w:bookmarkStart w:id="232" w:name="_Toc455080123"/>
      <w:bookmarkStart w:id="233" w:name="_Toc485131169"/>
      <w:r>
        <w:rPr>
          <w:rFonts w:hint="eastAsia" w:ascii="宋体" w:hAnsi="宋体" w:cs="宋体"/>
          <w:b/>
          <w:sz w:val="24"/>
        </w:rPr>
        <w:t>2.3 磋商文件的修改</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spacing w:line="360" w:lineRule="auto"/>
        <w:ind w:firstLine="480" w:firstLineChars="200"/>
        <w:rPr>
          <w:rFonts w:ascii="宋体" w:hAnsi="宋体" w:cs="宋体"/>
          <w:sz w:val="24"/>
        </w:rPr>
      </w:pPr>
      <w:r>
        <w:rPr>
          <w:rFonts w:hint="eastAsia" w:ascii="宋体" w:hAnsi="宋体" w:cs="宋体"/>
          <w:sz w:val="24"/>
        </w:rPr>
        <w:t xml:space="preserve">2.3.1 在提交响应文件截止5天前，采购人可以书面形式修改磋商文件，并通知所有已购买磋商文件的供应商。如果修改磋商文件的时间距提交响应文件截止时间不足5天，相应延长提交响应文件截止时间。 </w:t>
      </w:r>
    </w:p>
    <w:p>
      <w:pPr>
        <w:spacing w:line="360" w:lineRule="auto"/>
        <w:ind w:firstLine="480" w:firstLineChars="200"/>
        <w:rPr>
          <w:rFonts w:ascii="宋体" w:hAnsi="宋体" w:cs="宋体"/>
          <w:sz w:val="24"/>
        </w:rPr>
      </w:pPr>
      <w:r>
        <w:rPr>
          <w:rFonts w:hint="eastAsia" w:ascii="宋体" w:hAnsi="宋体" w:cs="宋体"/>
          <w:sz w:val="24"/>
        </w:rPr>
        <w:t>2.3.2 供应商收到修改内容后，应在供应商须知前附表规定的时间内以书面形式通知采购人，确认已收到该修改。</w:t>
      </w:r>
    </w:p>
    <w:p>
      <w:pPr>
        <w:spacing w:line="360" w:lineRule="auto"/>
        <w:rPr>
          <w:rFonts w:ascii="宋体" w:hAnsi="宋体" w:cs="宋体"/>
          <w:b/>
          <w:sz w:val="24"/>
        </w:rPr>
      </w:pPr>
      <w:bookmarkStart w:id="234" w:name="_Toc152045546"/>
      <w:bookmarkStart w:id="235" w:name="_Toc152042322"/>
      <w:bookmarkStart w:id="236" w:name="_Toc144974514"/>
      <w:bookmarkStart w:id="237" w:name="_Toc455080124"/>
      <w:r>
        <w:rPr>
          <w:rFonts w:hint="eastAsia" w:ascii="宋体" w:hAnsi="宋体" w:cs="宋体"/>
          <w:b/>
          <w:sz w:val="24"/>
        </w:rPr>
        <w:t xml:space="preserve">3. </w:t>
      </w:r>
      <w:bookmarkEnd w:id="234"/>
      <w:bookmarkEnd w:id="235"/>
      <w:bookmarkEnd w:id="236"/>
      <w:r>
        <w:rPr>
          <w:rFonts w:hint="eastAsia" w:ascii="宋体" w:hAnsi="宋体" w:cs="宋体"/>
          <w:b/>
          <w:sz w:val="24"/>
        </w:rPr>
        <w:t>响应文件</w:t>
      </w:r>
      <w:bookmarkEnd w:id="237"/>
    </w:p>
    <w:p>
      <w:pPr>
        <w:spacing w:line="360" w:lineRule="auto"/>
        <w:ind w:firstLine="480" w:firstLineChars="200"/>
        <w:rPr>
          <w:rFonts w:ascii="宋体" w:hAnsi="宋体" w:cs="宋体"/>
          <w:sz w:val="24"/>
        </w:rPr>
      </w:pPr>
      <w:bookmarkStart w:id="238" w:name="_Toc152045547"/>
      <w:bookmarkStart w:id="239" w:name="_Toc152042323"/>
      <w:bookmarkStart w:id="240" w:name="_Toc15810"/>
      <w:bookmarkStart w:id="241" w:name="_Toc144974515"/>
      <w:bookmarkStart w:id="242" w:name="_Toc24440"/>
      <w:bookmarkStart w:id="243" w:name="_Toc14244"/>
      <w:bookmarkStart w:id="244" w:name="_Toc318450691"/>
      <w:r>
        <w:rPr>
          <w:rFonts w:hint="eastAsia" w:ascii="宋体" w:hAnsi="宋体" w:cs="宋体"/>
          <w:sz w:val="24"/>
        </w:rPr>
        <w:t>3.1 响应文件的组成</w:t>
      </w:r>
      <w:bookmarkEnd w:id="238"/>
      <w:bookmarkEnd w:id="239"/>
      <w:bookmarkEnd w:id="240"/>
      <w:bookmarkEnd w:id="241"/>
      <w:bookmarkEnd w:id="242"/>
      <w:bookmarkEnd w:id="243"/>
      <w:bookmarkEnd w:id="244"/>
    </w:p>
    <w:p>
      <w:pPr>
        <w:spacing w:line="360" w:lineRule="auto"/>
        <w:ind w:firstLine="480" w:firstLineChars="200"/>
        <w:rPr>
          <w:rFonts w:ascii="宋体" w:hAnsi="宋体" w:cs="宋体"/>
          <w:sz w:val="24"/>
        </w:rPr>
      </w:pPr>
      <w:bookmarkStart w:id="245" w:name="_Toc455867785"/>
      <w:bookmarkStart w:id="246" w:name="_Toc779"/>
      <w:bookmarkStart w:id="247" w:name="_Toc455080125"/>
      <w:bookmarkStart w:id="248" w:name="_Toc30182"/>
      <w:bookmarkStart w:id="249" w:name="_Toc466298108"/>
      <w:bookmarkStart w:id="250" w:name="_Toc18750"/>
      <w:bookmarkStart w:id="251" w:name="_Toc13280"/>
      <w:bookmarkStart w:id="252" w:name="_Toc22864"/>
      <w:r>
        <w:rPr>
          <w:rFonts w:hint="eastAsia" w:ascii="宋体" w:hAnsi="宋体" w:cs="宋体"/>
          <w:sz w:val="24"/>
        </w:rPr>
        <w:t>详见第六章</w:t>
      </w:r>
      <w:bookmarkStart w:id="253" w:name="_Toc26291"/>
      <w:bookmarkStart w:id="254" w:name="_Toc899"/>
      <w:bookmarkStart w:id="255" w:name="_Toc318450692"/>
      <w:bookmarkStart w:id="256" w:name="_Toc279156232"/>
      <w:bookmarkStart w:id="257" w:name="_Toc152045548"/>
      <w:bookmarkStart w:id="258" w:name="_Toc144974516"/>
      <w:bookmarkStart w:id="259" w:name="_Toc152042324"/>
      <w:r>
        <w:rPr>
          <w:rFonts w:hint="eastAsia" w:ascii="宋体" w:hAnsi="宋体" w:cs="宋体"/>
          <w:sz w:val="24"/>
        </w:rPr>
        <w:t>“响应文件格式”</w:t>
      </w:r>
      <w:bookmarkEnd w:id="245"/>
      <w:bookmarkEnd w:id="246"/>
      <w:bookmarkEnd w:id="247"/>
      <w:bookmarkEnd w:id="248"/>
      <w:bookmarkEnd w:id="249"/>
      <w:bookmarkEnd w:id="250"/>
      <w:bookmarkEnd w:id="251"/>
      <w:bookmarkEnd w:id="252"/>
    </w:p>
    <w:p>
      <w:pPr>
        <w:spacing w:line="360" w:lineRule="auto"/>
        <w:rPr>
          <w:rFonts w:ascii="宋体" w:hAnsi="宋体" w:cs="宋体"/>
          <w:b/>
          <w:sz w:val="24"/>
        </w:rPr>
      </w:pPr>
      <w:bookmarkStart w:id="260" w:name="_Toc485131171"/>
      <w:r>
        <w:rPr>
          <w:rFonts w:hint="eastAsia" w:ascii="宋体" w:hAnsi="宋体" w:cs="宋体"/>
          <w:b/>
          <w:sz w:val="24"/>
        </w:rPr>
        <w:t>3.2 磋商报价</w:t>
      </w:r>
      <w:bookmarkEnd w:id="253"/>
      <w:bookmarkEnd w:id="254"/>
      <w:bookmarkEnd w:id="255"/>
      <w:bookmarkEnd w:id="256"/>
      <w:bookmarkEnd w:id="257"/>
      <w:bookmarkEnd w:id="258"/>
      <w:bookmarkEnd w:id="259"/>
      <w:bookmarkEnd w:id="260"/>
    </w:p>
    <w:p>
      <w:pPr>
        <w:numPr>
          <w:ilvl w:val="2"/>
          <w:numId w:val="0"/>
        </w:numPr>
        <w:tabs>
          <w:tab w:val="left" w:pos="0"/>
          <w:tab w:val="left" w:pos="1050"/>
        </w:tabs>
        <w:spacing w:line="360" w:lineRule="auto"/>
        <w:ind w:firstLine="417" w:firstLineChars="174"/>
        <w:rPr>
          <w:rFonts w:ascii="宋体" w:hAnsi="宋体" w:cs="宋体"/>
          <w:sz w:val="24"/>
        </w:rPr>
      </w:pPr>
      <w:r>
        <w:rPr>
          <w:rFonts w:hint="eastAsia" w:ascii="宋体" w:hAnsi="宋体" w:cs="宋体"/>
          <w:sz w:val="24"/>
        </w:rPr>
        <w:t>3.2.1磋商报价应为签订合同之日起服务期限内的全部的总报价。</w:t>
      </w:r>
    </w:p>
    <w:p>
      <w:pPr>
        <w:numPr>
          <w:ilvl w:val="2"/>
          <w:numId w:val="0"/>
        </w:numPr>
        <w:tabs>
          <w:tab w:val="left" w:pos="0"/>
          <w:tab w:val="left" w:pos="1050"/>
        </w:tabs>
        <w:spacing w:line="360" w:lineRule="auto"/>
        <w:ind w:firstLine="417" w:firstLineChars="174"/>
        <w:rPr>
          <w:rFonts w:ascii="宋体" w:hAnsi="宋体" w:cs="宋体"/>
          <w:sz w:val="24"/>
        </w:rPr>
      </w:pPr>
      <w:r>
        <w:rPr>
          <w:rFonts w:hint="eastAsia" w:ascii="宋体" w:hAnsi="宋体" w:cs="宋体"/>
          <w:sz w:val="24"/>
        </w:rPr>
        <w:t>3.2.2供应商应按照磋商文件提供的报价表格式填写提供各项服务、人员工资的单价、总价。</w:t>
      </w:r>
    </w:p>
    <w:p>
      <w:pPr>
        <w:numPr>
          <w:ilvl w:val="2"/>
          <w:numId w:val="0"/>
        </w:numPr>
        <w:tabs>
          <w:tab w:val="left" w:pos="0"/>
          <w:tab w:val="left" w:pos="1050"/>
        </w:tabs>
        <w:spacing w:line="360" w:lineRule="auto"/>
        <w:ind w:firstLine="417" w:firstLineChars="174"/>
        <w:rPr>
          <w:rFonts w:ascii="宋体" w:hAnsi="宋体" w:cs="宋体"/>
          <w:sz w:val="24"/>
        </w:rPr>
      </w:pPr>
      <w:r>
        <w:rPr>
          <w:rFonts w:hint="eastAsia" w:ascii="宋体" w:hAnsi="宋体" w:cs="宋体"/>
          <w:sz w:val="24"/>
        </w:rPr>
        <w:t>3.2.3成交总报价为成交人在磋商文件中提出的各项支付金额的总和。</w:t>
      </w:r>
    </w:p>
    <w:p>
      <w:pPr>
        <w:numPr>
          <w:ilvl w:val="2"/>
          <w:numId w:val="0"/>
        </w:numPr>
        <w:tabs>
          <w:tab w:val="left" w:pos="0"/>
          <w:tab w:val="left" w:pos="1050"/>
        </w:tabs>
        <w:spacing w:line="360" w:lineRule="auto"/>
        <w:ind w:firstLine="417" w:firstLineChars="174"/>
        <w:rPr>
          <w:rFonts w:ascii="宋体" w:hAnsi="宋体" w:cs="宋体"/>
          <w:sz w:val="24"/>
        </w:rPr>
      </w:pPr>
      <w:r>
        <w:rPr>
          <w:rFonts w:hint="eastAsia" w:ascii="宋体" w:hAnsi="宋体" w:cs="宋体"/>
          <w:sz w:val="24"/>
        </w:rPr>
        <w:t>3.2.4成交人的磋商报价均包括完成该工程项目的成本、利润、税金、风险等所有伴随的其他费用。</w:t>
      </w:r>
    </w:p>
    <w:p>
      <w:pPr>
        <w:numPr>
          <w:ilvl w:val="2"/>
          <w:numId w:val="0"/>
        </w:numPr>
        <w:tabs>
          <w:tab w:val="left" w:pos="0"/>
          <w:tab w:val="left" w:pos="1050"/>
        </w:tabs>
        <w:spacing w:line="360" w:lineRule="auto"/>
        <w:ind w:firstLine="417" w:firstLineChars="174"/>
        <w:rPr>
          <w:rFonts w:ascii="宋体" w:hAnsi="宋体"/>
          <w:b/>
          <w:szCs w:val="21"/>
        </w:rPr>
      </w:pPr>
      <w:r>
        <w:rPr>
          <w:rFonts w:hint="eastAsia" w:ascii="宋体" w:hAnsi="宋体" w:cs="宋体"/>
          <w:sz w:val="24"/>
        </w:rPr>
        <w:t>3.2.5</w:t>
      </w:r>
      <w:r>
        <w:rPr>
          <w:rFonts w:hint="eastAsia" w:ascii="宋体" w:hAnsi="宋体" w:cs="宋体"/>
          <w:sz w:val="24"/>
        </w:rPr>
        <w:tab/>
      </w:r>
      <w:r>
        <w:rPr>
          <w:rFonts w:hint="eastAsia" w:ascii="宋体" w:hAnsi="宋体" w:cs="宋体"/>
          <w:sz w:val="24"/>
        </w:rPr>
        <w:t>成交人不得以任何理由在磋商截止后对磋商报价予以修改，报价在磋商有效期内是固定的，不因任何原因而改变。任何包含价格调整要求和条件的磋商，将被视为非实质性响应磋商而予与拒绝。</w:t>
      </w:r>
    </w:p>
    <w:p>
      <w:pPr>
        <w:spacing w:line="360" w:lineRule="auto"/>
        <w:rPr>
          <w:rFonts w:ascii="宋体" w:hAnsi="宋体" w:cs="宋体"/>
          <w:b/>
          <w:sz w:val="24"/>
        </w:rPr>
      </w:pPr>
      <w:bookmarkStart w:id="261" w:name="_Toc455080126"/>
      <w:bookmarkStart w:id="262" w:name="_Toc2425"/>
      <w:bookmarkStart w:id="263" w:name="_Toc466298109"/>
      <w:bookmarkStart w:id="264" w:name="_Toc144974517"/>
      <w:bookmarkStart w:id="265" w:name="_Toc6105"/>
      <w:bookmarkStart w:id="266" w:name="_Toc1858"/>
      <w:bookmarkStart w:id="267" w:name="_Toc3624"/>
      <w:bookmarkStart w:id="268" w:name="_Toc318450693"/>
      <w:bookmarkStart w:id="269" w:name="_Toc21600"/>
      <w:bookmarkStart w:id="270" w:name="_Toc485131172"/>
      <w:bookmarkStart w:id="271" w:name="_Toc455867786"/>
      <w:bookmarkStart w:id="272" w:name="_Toc7910"/>
      <w:bookmarkStart w:id="273" w:name="_Toc21680"/>
      <w:bookmarkStart w:id="274" w:name="_Toc152042325"/>
      <w:bookmarkStart w:id="275" w:name="_Toc152045549"/>
      <w:r>
        <w:rPr>
          <w:rFonts w:hint="eastAsia" w:ascii="宋体" w:hAnsi="宋体" w:cs="宋体"/>
          <w:b/>
          <w:sz w:val="24"/>
        </w:rPr>
        <w:t>3.3 磋商有效期</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spacing w:line="360" w:lineRule="auto"/>
        <w:ind w:firstLine="480" w:firstLineChars="200"/>
        <w:rPr>
          <w:rFonts w:ascii="宋体" w:hAnsi="宋体" w:cs="宋体"/>
          <w:sz w:val="24"/>
        </w:rPr>
      </w:pPr>
      <w:r>
        <w:rPr>
          <w:rFonts w:hint="eastAsia" w:ascii="宋体" w:hAnsi="宋体" w:cs="宋体"/>
          <w:sz w:val="24"/>
        </w:rPr>
        <w:t>3.3.1 在供应商须知前附表规定的磋商有效期内，供应商不得要求撤销或修改其响应文件。</w:t>
      </w:r>
    </w:p>
    <w:p>
      <w:pPr>
        <w:spacing w:line="360" w:lineRule="auto"/>
        <w:ind w:firstLine="480" w:firstLineChars="200"/>
        <w:rPr>
          <w:rFonts w:ascii="宋体" w:hAnsi="宋体" w:cs="宋体"/>
          <w:sz w:val="24"/>
        </w:rPr>
      </w:pPr>
      <w:r>
        <w:rPr>
          <w:rFonts w:hint="eastAsia" w:ascii="宋体" w:hAnsi="宋体" w:cs="宋体"/>
          <w:sz w:val="24"/>
        </w:rPr>
        <w:t xml:space="preserve">3.3.2出现特殊情况需要延长磋商有效期的，采购人以书面形式通知所有供应商延长磋商有效期。供应商同意延长的，应相应延长其磋商保证金的有效期，但不得要求或被允许修改或撤销其响应文件；供应商拒绝延长的，其响应性文件失效，但供应商有权收回其磋商保证金。 </w:t>
      </w:r>
    </w:p>
    <w:p>
      <w:pPr>
        <w:spacing w:line="360" w:lineRule="auto"/>
        <w:rPr>
          <w:rFonts w:ascii="宋体" w:hAnsi="宋体" w:cs="宋体"/>
          <w:b/>
          <w:sz w:val="24"/>
        </w:rPr>
      </w:pPr>
      <w:bookmarkStart w:id="276" w:name="_Toc152042326"/>
      <w:bookmarkStart w:id="277" w:name="_Toc7057"/>
      <w:bookmarkStart w:id="278" w:name="_Toc4165"/>
      <w:bookmarkStart w:id="279" w:name="_Toc30697"/>
      <w:bookmarkStart w:id="280" w:name="_Toc10370"/>
      <w:bookmarkStart w:id="281" w:name="_Toc455867787"/>
      <w:bookmarkStart w:id="282" w:name="_Toc466298110"/>
      <w:bookmarkStart w:id="283" w:name="_Toc485131173"/>
      <w:bookmarkStart w:id="284" w:name="_Toc2505"/>
      <w:bookmarkStart w:id="285" w:name="_Toc144974518"/>
      <w:bookmarkStart w:id="286" w:name="_Toc318450694"/>
      <w:bookmarkStart w:id="287" w:name="_Toc7973"/>
      <w:bookmarkStart w:id="288" w:name="_Toc455080127"/>
      <w:bookmarkStart w:id="289" w:name="_Toc152045550"/>
      <w:bookmarkStart w:id="290" w:name="_Toc22389"/>
      <w:r>
        <w:rPr>
          <w:rFonts w:hint="eastAsia" w:ascii="宋体" w:hAnsi="宋体" w:cs="宋体"/>
          <w:b/>
          <w:sz w:val="24"/>
        </w:rPr>
        <w:t>3.4 磋商保证金</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spacing w:line="360" w:lineRule="auto"/>
        <w:ind w:firstLine="480" w:firstLineChars="200"/>
        <w:rPr>
          <w:rFonts w:ascii="宋体" w:hAnsi="宋体" w:cs="宋体"/>
          <w:sz w:val="24"/>
        </w:rPr>
      </w:pPr>
      <w:r>
        <w:rPr>
          <w:rFonts w:hint="eastAsia" w:ascii="宋体" w:hAnsi="宋体" w:cs="宋体"/>
          <w:sz w:val="24"/>
        </w:rPr>
        <w:t>3.4.1 供应商在递交响应文件的同时，应按供应商须知前附表规定的金额、担保形式和第六章“响应文件格式”规定的磋商保证金格式递交磋商保证金，并作为其响应文件的组成部分。</w:t>
      </w:r>
    </w:p>
    <w:p>
      <w:pPr>
        <w:spacing w:line="360" w:lineRule="auto"/>
        <w:ind w:firstLine="480" w:firstLineChars="200"/>
        <w:rPr>
          <w:rFonts w:ascii="宋体" w:hAnsi="宋体" w:cs="宋体"/>
          <w:sz w:val="24"/>
        </w:rPr>
      </w:pPr>
      <w:r>
        <w:rPr>
          <w:rFonts w:hint="eastAsia" w:ascii="宋体" w:hAnsi="宋体" w:cs="宋体"/>
          <w:sz w:val="24"/>
        </w:rPr>
        <w:t>3.4.2 供应商不按本章第3.4.1项要求提交磋商保证金的，其响应文件作废标处理。</w:t>
      </w:r>
    </w:p>
    <w:p>
      <w:pPr>
        <w:spacing w:line="360" w:lineRule="auto"/>
        <w:ind w:firstLine="480" w:firstLineChars="200"/>
        <w:rPr>
          <w:rFonts w:ascii="宋体" w:hAnsi="宋体" w:cs="宋体"/>
          <w:sz w:val="24"/>
        </w:rPr>
      </w:pPr>
      <w:r>
        <w:rPr>
          <w:rFonts w:hint="eastAsia" w:ascii="宋体" w:hAnsi="宋体" w:cs="宋体"/>
          <w:sz w:val="24"/>
        </w:rPr>
        <w:t>3.4.3</w:t>
      </w:r>
      <w:r>
        <w:rPr>
          <w:rFonts w:hint="eastAsia" w:ascii="宋体" w:hAnsi="宋体" w:cs="宋体"/>
          <w:sz w:val="24"/>
          <w:lang w:bidi="en-US"/>
        </w:rPr>
        <w:t>在成交通知书发出后5日内退还未成交供应商的</w:t>
      </w:r>
      <w:r>
        <w:rPr>
          <w:rFonts w:hint="eastAsia" w:ascii="宋体" w:hAnsi="宋体" w:cs="宋体"/>
          <w:sz w:val="24"/>
        </w:rPr>
        <w:t>磋商</w:t>
      </w:r>
      <w:r>
        <w:rPr>
          <w:rFonts w:hint="eastAsia" w:ascii="宋体" w:hAnsi="宋体" w:cs="宋体"/>
          <w:sz w:val="24"/>
          <w:lang w:bidi="en-US"/>
        </w:rPr>
        <w:t>保证金，</w:t>
      </w:r>
      <w:r>
        <w:rPr>
          <w:rFonts w:hint="eastAsia" w:ascii="宋体" w:hAnsi="宋体" w:cs="宋体"/>
          <w:sz w:val="24"/>
        </w:rPr>
        <w:t>采购人与成交人在采购合同签订且缴纳招标代理服务费后，5日内退还成交供应商的磋商保证金。</w:t>
      </w:r>
    </w:p>
    <w:p>
      <w:pPr>
        <w:spacing w:line="360" w:lineRule="auto"/>
        <w:ind w:firstLine="480" w:firstLineChars="200"/>
        <w:rPr>
          <w:rFonts w:ascii="宋体" w:hAnsi="宋体" w:cs="宋体"/>
          <w:sz w:val="24"/>
        </w:rPr>
      </w:pPr>
      <w:r>
        <w:rPr>
          <w:rFonts w:hint="eastAsia" w:ascii="宋体" w:hAnsi="宋体" w:cs="宋体"/>
          <w:sz w:val="24"/>
        </w:rPr>
        <w:t xml:space="preserve">3.4.4 有下列情形之一的，磋商保证金不予退还： </w:t>
      </w:r>
    </w:p>
    <w:p>
      <w:pPr>
        <w:spacing w:line="360" w:lineRule="auto"/>
        <w:ind w:firstLine="480" w:firstLineChars="200"/>
        <w:rPr>
          <w:rFonts w:ascii="宋体" w:hAnsi="宋体" w:cs="宋体"/>
          <w:sz w:val="24"/>
        </w:rPr>
      </w:pPr>
      <w:r>
        <w:rPr>
          <w:rFonts w:hint="eastAsia" w:ascii="宋体" w:hAnsi="宋体" w:cs="宋体"/>
          <w:sz w:val="24"/>
        </w:rPr>
        <w:t>（1）供应商在规定的磋商有效期内撤销或修改其响应文件；</w:t>
      </w:r>
    </w:p>
    <w:p>
      <w:pPr>
        <w:spacing w:line="360" w:lineRule="auto"/>
        <w:ind w:firstLine="480" w:firstLineChars="200"/>
        <w:rPr>
          <w:rFonts w:ascii="宋体" w:hAnsi="宋体" w:cs="宋体"/>
          <w:sz w:val="24"/>
        </w:rPr>
      </w:pPr>
      <w:bookmarkStart w:id="291" w:name="_Toc318450695"/>
      <w:bookmarkStart w:id="292" w:name="_Toc144974520"/>
      <w:bookmarkStart w:id="293" w:name="_Toc152045552"/>
      <w:bookmarkStart w:id="294" w:name="_Toc152042328"/>
      <w:r>
        <w:rPr>
          <w:rFonts w:hint="eastAsia" w:ascii="宋体" w:hAnsi="宋体" w:cs="宋体"/>
          <w:sz w:val="24"/>
        </w:rPr>
        <w:t>（2）成交人在收到成交通知书后，无正当理由拒签合同协议书或未按磋商文件规定提交履约担保。</w:t>
      </w:r>
    </w:p>
    <w:p>
      <w:pPr>
        <w:spacing w:line="360" w:lineRule="auto"/>
        <w:ind w:firstLine="480" w:firstLineChars="200"/>
        <w:rPr>
          <w:rFonts w:ascii="宋体" w:hAnsi="宋体" w:cs="宋体"/>
          <w:sz w:val="24"/>
        </w:rPr>
      </w:pPr>
      <w:r>
        <w:rPr>
          <w:rFonts w:hint="eastAsia" w:ascii="宋体" w:hAnsi="宋体" w:cs="宋体"/>
          <w:sz w:val="24"/>
        </w:rPr>
        <w:t>（3）供应商在本次磋商活动中有其他违规违法行为。</w:t>
      </w:r>
    </w:p>
    <w:bookmarkEnd w:id="291"/>
    <w:bookmarkEnd w:id="292"/>
    <w:bookmarkEnd w:id="293"/>
    <w:bookmarkEnd w:id="294"/>
    <w:p>
      <w:pPr>
        <w:spacing w:line="360" w:lineRule="auto"/>
        <w:rPr>
          <w:rFonts w:ascii="宋体" w:hAnsi="宋体" w:cs="宋体"/>
          <w:b/>
          <w:sz w:val="24"/>
        </w:rPr>
      </w:pPr>
      <w:bookmarkStart w:id="295" w:name="_Toc152045554"/>
      <w:bookmarkStart w:id="296" w:name="_Toc144974522"/>
      <w:bookmarkStart w:id="297" w:name="_Toc28656"/>
      <w:bookmarkStart w:id="298" w:name="_Toc455080130"/>
      <w:bookmarkStart w:id="299" w:name="_Toc455867790"/>
      <w:bookmarkStart w:id="300" w:name="_Toc152042330"/>
      <w:bookmarkStart w:id="301" w:name="_Toc12275"/>
      <w:bookmarkStart w:id="302" w:name="_Toc466298113"/>
      <w:bookmarkStart w:id="303" w:name="_Toc318450697"/>
      <w:bookmarkStart w:id="304" w:name="_Toc485131174"/>
      <w:bookmarkStart w:id="305" w:name="_Toc25620"/>
      <w:bookmarkStart w:id="306" w:name="_Toc7966"/>
      <w:bookmarkStart w:id="307" w:name="_Toc7626"/>
      <w:bookmarkStart w:id="308" w:name="_Toc6323"/>
      <w:bookmarkStart w:id="309" w:name="_Toc31145"/>
      <w:r>
        <w:rPr>
          <w:rFonts w:hint="eastAsia" w:ascii="宋体" w:hAnsi="宋体" w:cs="宋体"/>
          <w:b/>
          <w:sz w:val="24"/>
        </w:rPr>
        <w:t>3.5 响应文件的编制</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spacing w:line="360" w:lineRule="auto"/>
        <w:ind w:firstLine="480" w:firstLineChars="200"/>
        <w:rPr>
          <w:rFonts w:ascii="宋体" w:hAnsi="宋体" w:cs="宋体"/>
          <w:sz w:val="24"/>
        </w:rPr>
      </w:pPr>
      <w:r>
        <w:rPr>
          <w:rFonts w:hint="eastAsia" w:ascii="宋体" w:hAnsi="宋体" w:cs="宋体"/>
          <w:sz w:val="24"/>
        </w:rPr>
        <w:t>3.5.1响应文件应按第六章“响应文件格式”进行编写，如有必要，可以增加附页，作为响应文件的组成部分。其中，磋商函附录在满足磋商文件实质性要求的基础上，可以提出比磋商文件要求更有利于采购人的承诺。</w:t>
      </w:r>
    </w:p>
    <w:p>
      <w:pPr>
        <w:spacing w:line="360" w:lineRule="auto"/>
        <w:ind w:firstLine="480" w:firstLineChars="200"/>
        <w:rPr>
          <w:rFonts w:ascii="宋体" w:hAnsi="宋体" w:cs="宋体"/>
          <w:sz w:val="24"/>
        </w:rPr>
      </w:pPr>
      <w:r>
        <w:rPr>
          <w:rFonts w:hint="eastAsia" w:ascii="宋体" w:hAnsi="宋体" w:cs="宋体"/>
          <w:sz w:val="24"/>
        </w:rPr>
        <w:t>3.5.2 响应文件应当对磋商文件有关服务期限、磋商有效期、服务质量要求、采购内容等实质性内容作出响应。</w:t>
      </w:r>
    </w:p>
    <w:p>
      <w:pPr>
        <w:spacing w:line="360" w:lineRule="auto"/>
        <w:ind w:firstLine="480" w:firstLineChars="200"/>
        <w:rPr>
          <w:rFonts w:ascii="宋体" w:hAnsi="宋体" w:cs="宋体"/>
          <w:sz w:val="24"/>
        </w:rPr>
      </w:pPr>
      <w:r>
        <w:rPr>
          <w:rFonts w:hint="eastAsia" w:ascii="宋体" w:hAnsi="宋体" w:cs="宋体"/>
          <w:sz w:val="24"/>
        </w:rPr>
        <w:t xml:space="preserve">3.5.3响应文件应用不褪色的材料书写或打印，并由供应商的法定代表人或其委托代理人签字并加盖单位公章。委托代理人签字的，响应文件应附法定代表人签署的授权委托书。响应文件应尽量避免涂改、行间插字或删除。如果出现上述情况，改动之处应加盖单位公章并由供应商的法定代表人或其授权的代理人签字确认。签字或盖章的具体要求见供应商须知前附表。 </w:t>
      </w:r>
    </w:p>
    <w:p>
      <w:pPr>
        <w:spacing w:line="360" w:lineRule="auto"/>
        <w:ind w:firstLine="480" w:firstLineChars="200"/>
        <w:rPr>
          <w:rFonts w:ascii="宋体" w:hAnsi="宋体" w:cs="宋体"/>
          <w:sz w:val="24"/>
        </w:rPr>
      </w:pPr>
      <w:r>
        <w:rPr>
          <w:rFonts w:hint="eastAsia" w:ascii="宋体" w:hAnsi="宋体" w:cs="宋体"/>
          <w:sz w:val="24"/>
        </w:rPr>
        <w:t>3.5.4 响应文件正本一份，副本份数见供应商须知前附表。正本和副本的封面上应清楚地标记“正本”或“副本”的字样。当副本和正本不一致时，以正本为准。</w:t>
      </w:r>
    </w:p>
    <w:p>
      <w:pPr>
        <w:spacing w:line="360" w:lineRule="auto"/>
        <w:ind w:firstLine="480" w:firstLineChars="200"/>
        <w:rPr>
          <w:rFonts w:ascii="宋体" w:hAnsi="宋体" w:cs="宋体"/>
          <w:sz w:val="24"/>
        </w:rPr>
      </w:pPr>
      <w:r>
        <w:rPr>
          <w:rFonts w:hint="eastAsia" w:ascii="宋体" w:hAnsi="宋体" w:cs="宋体"/>
          <w:sz w:val="24"/>
        </w:rPr>
        <w:t>3.5.5 响应文件的正本与副本应分别装订成册，并编制目录，具体装订要求见供应商须知前附表规定。</w:t>
      </w:r>
    </w:p>
    <w:p>
      <w:pPr>
        <w:spacing w:line="360" w:lineRule="auto"/>
        <w:rPr>
          <w:rFonts w:ascii="宋体" w:hAnsi="宋体" w:cs="宋体"/>
          <w:b/>
          <w:sz w:val="24"/>
        </w:rPr>
      </w:pPr>
      <w:bookmarkStart w:id="310" w:name="_Toc152045555"/>
      <w:bookmarkStart w:id="311" w:name="_Toc152042331"/>
      <w:bookmarkStart w:id="312" w:name="_Toc144974523"/>
      <w:bookmarkStart w:id="313" w:name="_Toc455080131"/>
      <w:r>
        <w:rPr>
          <w:rFonts w:hint="eastAsia" w:ascii="宋体" w:hAnsi="宋体" w:cs="宋体"/>
          <w:b/>
          <w:sz w:val="24"/>
        </w:rPr>
        <w:t>4. 投标</w:t>
      </w:r>
      <w:bookmarkEnd w:id="310"/>
      <w:bookmarkEnd w:id="311"/>
      <w:bookmarkEnd w:id="312"/>
      <w:bookmarkEnd w:id="313"/>
    </w:p>
    <w:p>
      <w:pPr>
        <w:spacing w:line="360" w:lineRule="auto"/>
        <w:rPr>
          <w:rFonts w:ascii="宋体" w:hAnsi="宋体" w:cs="宋体"/>
          <w:b/>
          <w:sz w:val="24"/>
        </w:rPr>
      </w:pPr>
      <w:bookmarkStart w:id="314" w:name="_Toc31492"/>
      <w:bookmarkStart w:id="315" w:name="_Toc16783"/>
      <w:bookmarkStart w:id="316" w:name="_Toc318450699"/>
      <w:bookmarkStart w:id="317" w:name="_Toc152045556"/>
      <w:bookmarkStart w:id="318" w:name="_Toc455080132"/>
      <w:bookmarkStart w:id="319" w:name="_Toc15178"/>
      <w:bookmarkStart w:id="320" w:name="_Toc152042332"/>
      <w:bookmarkStart w:id="321" w:name="_Toc144974524"/>
      <w:bookmarkStart w:id="322" w:name="_Toc11243"/>
      <w:bookmarkStart w:id="323" w:name="_Toc16962"/>
      <w:bookmarkStart w:id="324" w:name="_Toc466298115"/>
      <w:bookmarkStart w:id="325" w:name="_Toc455867792"/>
      <w:bookmarkStart w:id="326" w:name="_Toc485131176"/>
      <w:bookmarkStart w:id="327" w:name="_Toc26550"/>
      <w:bookmarkStart w:id="328" w:name="_Toc16344"/>
      <w:r>
        <w:rPr>
          <w:rFonts w:hint="eastAsia" w:ascii="宋体" w:hAnsi="宋体" w:cs="宋体"/>
          <w:b/>
          <w:sz w:val="24"/>
        </w:rPr>
        <w:t>4.1 响应文件的密封和标记</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pPr>
        <w:spacing w:line="360" w:lineRule="auto"/>
        <w:ind w:firstLine="480" w:firstLineChars="200"/>
        <w:rPr>
          <w:sz w:val="24"/>
        </w:rPr>
      </w:pPr>
      <w:r>
        <w:rPr>
          <w:rFonts w:hint="eastAsia" w:ascii="宋体" w:hAnsi="宋体" w:cs="宋体"/>
          <w:sz w:val="24"/>
        </w:rPr>
        <w:t>4.1.1响应文件的</w:t>
      </w:r>
      <w:r>
        <w:rPr>
          <w:sz w:val="24"/>
        </w:rPr>
        <w:t>正本及副本应包装，加贴封条，并在封套的封口处加盖</w:t>
      </w:r>
      <w:r>
        <w:rPr>
          <w:rFonts w:hint="eastAsia"/>
          <w:sz w:val="24"/>
        </w:rPr>
        <w:t>供应商</w:t>
      </w:r>
      <w:r>
        <w:rPr>
          <w:sz w:val="24"/>
        </w:rPr>
        <w:t>单位章。</w:t>
      </w:r>
      <w:r>
        <w:rPr>
          <w:rFonts w:hint="eastAsia"/>
          <w:sz w:val="24"/>
        </w:rPr>
        <w:t>电子文档单独密封。</w:t>
      </w:r>
    </w:p>
    <w:p>
      <w:pPr>
        <w:spacing w:line="360" w:lineRule="auto"/>
        <w:ind w:firstLine="480" w:firstLineChars="200"/>
        <w:rPr>
          <w:rFonts w:ascii="宋体" w:hAnsi="宋体" w:cs="宋体"/>
          <w:sz w:val="24"/>
        </w:rPr>
      </w:pPr>
      <w:r>
        <w:rPr>
          <w:rFonts w:hint="eastAsia" w:ascii="宋体" w:hAnsi="宋体" w:cs="宋体"/>
          <w:sz w:val="24"/>
        </w:rPr>
        <w:t>4.1.2 响应文件的封套上应清楚地标记“正本”或“副本”字样，封套上应写明的其他内容见供应商须知前附表。</w:t>
      </w:r>
    </w:p>
    <w:p>
      <w:pPr>
        <w:spacing w:line="360" w:lineRule="auto"/>
        <w:ind w:firstLine="480" w:firstLineChars="200"/>
        <w:rPr>
          <w:rFonts w:ascii="宋体" w:hAnsi="宋体" w:cs="宋体"/>
          <w:sz w:val="24"/>
        </w:rPr>
      </w:pPr>
      <w:r>
        <w:rPr>
          <w:rFonts w:hint="eastAsia" w:ascii="宋体" w:hAnsi="宋体" w:cs="宋体"/>
          <w:sz w:val="24"/>
        </w:rPr>
        <w:t>4.1.3 未按本章第4.1.1项或第4.1.2项要求密封和加写标记的响应文件，采购人不予受理。</w:t>
      </w:r>
    </w:p>
    <w:p>
      <w:pPr>
        <w:spacing w:line="360" w:lineRule="auto"/>
        <w:rPr>
          <w:rFonts w:ascii="宋体" w:hAnsi="宋体" w:cs="宋体"/>
          <w:b/>
          <w:sz w:val="24"/>
        </w:rPr>
      </w:pPr>
      <w:bookmarkStart w:id="329" w:name="_Toc28272"/>
      <w:bookmarkStart w:id="330" w:name="_Toc27132"/>
      <w:bookmarkStart w:id="331" w:name="_Toc152042333"/>
      <w:bookmarkStart w:id="332" w:name="_Toc318450700"/>
      <w:bookmarkStart w:id="333" w:name="_Toc455080133"/>
      <w:bookmarkStart w:id="334" w:name="_Toc21072"/>
      <w:bookmarkStart w:id="335" w:name="_Toc144974525"/>
      <w:bookmarkStart w:id="336" w:name="_Toc8754"/>
      <w:bookmarkStart w:id="337" w:name="_Toc466298116"/>
      <w:bookmarkStart w:id="338" w:name="_Toc485131177"/>
      <w:bookmarkStart w:id="339" w:name="_Toc462"/>
      <w:bookmarkStart w:id="340" w:name="_Toc455867793"/>
      <w:bookmarkStart w:id="341" w:name="_Toc152045557"/>
      <w:bookmarkStart w:id="342" w:name="_Toc13233"/>
      <w:bookmarkStart w:id="343" w:name="_Toc16832"/>
      <w:r>
        <w:rPr>
          <w:rFonts w:hint="eastAsia" w:ascii="宋体" w:hAnsi="宋体" w:cs="宋体"/>
          <w:b/>
          <w:sz w:val="24"/>
        </w:rPr>
        <w:t>4.2 响应文件的递交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spacing w:line="360" w:lineRule="auto"/>
        <w:ind w:firstLine="480" w:firstLineChars="200"/>
        <w:rPr>
          <w:rFonts w:ascii="宋体" w:hAnsi="宋体" w:cs="宋体"/>
          <w:sz w:val="24"/>
        </w:rPr>
      </w:pPr>
      <w:r>
        <w:rPr>
          <w:rFonts w:hint="eastAsia" w:ascii="宋体" w:hAnsi="宋体" w:cs="宋体"/>
          <w:sz w:val="24"/>
        </w:rPr>
        <w:t>4.2.1 供应商应在本章第2.2.2项规定的磋商截止时间前递交响应文件。</w:t>
      </w:r>
    </w:p>
    <w:p>
      <w:pPr>
        <w:spacing w:line="360" w:lineRule="auto"/>
        <w:ind w:firstLine="480" w:firstLineChars="200"/>
        <w:rPr>
          <w:rFonts w:ascii="宋体" w:hAnsi="宋体" w:cs="宋体"/>
          <w:sz w:val="24"/>
        </w:rPr>
      </w:pPr>
      <w:r>
        <w:rPr>
          <w:rFonts w:hint="eastAsia" w:ascii="宋体" w:hAnsi="宋体" w:cs="宋体"/>
          <w:sz w:val="24"/>
        </w:rPr>
        <w:t>4.2.2 供应商递交响应文件的地点：见供应商须知前附表。</w:t>
      </w:r>
    </w:p>
    <w:p>
      <w:pPr>
        <w:spacing w:line="360" w:lineRule="auto"/>
        <w:ind w:firstLine="480" w:firstLineChars="200"/>
        <w:rPr>
          <w:rFonts w:ascii="宋体" w:hAnsi="宋体" w:cs="宋体"/>
          <w:sz w:val="24"/>
        </w:rPr>
      </w:pPr>
      <w:r>
        <w:rPr>
          <w:rFonts w:hint="eastAsia" w:ascii="宋体" w:hAnsi="宋体" w:cs="宋体"/>
          <w:sz w:val="24"/>
        </w:rPr>
        <w:t>4.2.3 除供应商须知前附表另有规定外，供应商所递交的响应文件不予退还。</w:t>
      </w:r>
    </w:p>
    <w:p>
      <w:pPr>
        <w:spacing w:line="360" w:lineRule="auto"/>
        <w:ind w:firstLine="480" w:firstLineChars="200"/>
        <w:rPr>
          <w:rFonts w:ascii="宋体" w:hAnsi="宋体" w:cs="宋体"/>
          <w:sz w:val="24"/>
        </w:rPr>
      </w:pPr>
      <w:r>
        <w:rPr>
          <w:rFonts w:hint="eastAsia" w:ascii="宋体" w:hAnsi="宋体" w:cs="宋体"/>
          <w:sz w:val="24"/>
        </w:rPr>
        <w:t>4.2.4 采购人收到响应文件后，向供应商出具签收凭证。</w:t>
      </w:r>
    </w:p>
    <w:p>
      <w:pPr>
        <w:spacing w:line="360" w:lineRule="auto"/>
        <w:ind w:firstLine="480" w:firstLineChars="200"/>
        <w:rPr>
          <w:rFonts w:ascii="宋体" w:hAnsi="宋体" w:cs="宋体"/>
          <w:sz w:val="24"/>
        </w:rPr>
      </w:pPr>
      <w:r>
        <w:rPr>
          <w:rFonts w:hint="eastAsia" w:ascii="宋体" w:hAnsi="宋体" w:cs="宋体"/>
          <w:sz w:val="24"/>
        </w:rPr>
        <w:t>4.2.5 逾期送达的或者未送达指定地点的响应文件，采购人不予受理。</w:t>
      </w:r>
    </w:p>
    <w:p>
      <w:pPr>
        <w:spacing w:line="360" w:lineRule="auto"/>
        <w:rPr>
          <w:rFonts w:ascii="宋体" w:hAnsi="宋体" w:cs="宋体"/>
          <w:b/>
          <w:sz w:val="24"/>
        </w:rPr>
      </w:pPr>
      <w:bookmarkStart w:id="344" w:name="_Toc5102"/>
      <w:bookmarkStart w:id="345" w:name="_Toc26684"/>
      <w:bookmarkStart w:id="346" w:name="_Toc144974526"/>
      <w:bookmarkStart w:id="347" w:name="_Toc455867794"/>
      <w:bookmarkStart w:id="348" w:name="_Toc318450701"/>
      <w:bookmarkStart w:id="349" w:name="_Toc485131178"/>
      <w:bookmarkStart w:id="350" w:name="_Toc30860"/>
      <w:bookmarkStart w:id="351" w:name="_Toc19501"/>
      <w:bookmarkStart w:id="352" w:name="_Toc20281"/>
      <w:bookmarkStart w:id="353" w:name="_Toc152042334"/>
      <w:bookmarkStart w:id="354" w:name="_Toc466298117"/>
      <w:bookmarkStart w:id="355" w:name="_Toc152045558"/>
      <w:bookmarkStart w:id="356" w:name="_Toc2952"/>
      <w:bookmarkStart w:id="357" w:name="_Toc455080134"/>
      <w:bookmarkStart w:id="358" w:name="_Toc21890"/>
      <w:r>
        <w:rPr>
          <w:rFonts w:hint="eastAsia" w:ascii="宋体" w:hAnsi="宋体" w:cs="宋体"/>
          <w:b/>
          <w:sz w:val="24"/>
        </w:rPr>
        <w:t>4.3 响应文件的修改与撤回</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spacing w:line="360" w:lineRule="auto"/>
        <w:ind w:firstLine="480" w:firstLineChars="200"/>
        <w:rPr>
          <w:rFonts w:ascii="宋体" w:hAnsi="宋体" w:cs="宋体"/>
          <w:sz w:val="24"/>
        </w:rPr>
      </w:pPr>
      <w:r>
        <w:rPr>
          <w:rFonts w:hint="eastAsia" w:ascii="宋体" w:hAnsi="宋体" w:cs="宋体"/>
          <w:sz w:val="24"/>
        </w:rPr>
        <w:t>4.3.1 在本章第2.2.2项规定的响应文件递交截止时间前，供应商可以修改或撤回已递交的响应文件，但应以书面形式通知采购人。</w:t>
      </w:r>
    </w:p>
    <w:p>
      <w:pPr>
        <w:spacing w:line="360" w:lineRule="auto"/>
        <w:ind w:firstLine="480" w:firstLineChars="200"/>
        <w:rPr>
          <w:rFonts w:ascii="宋体" w:hAnsi="宋体" w:cs="宋体"/>
          <w:sz w:val="24"/>
        </w:rPr>
      </w:pPr>
      <w:r>
        <w:rPr>
          <w:rFonts w:hint="eastAsia" w:ascii="宋体" w:hAnsi="宋体" w:cs="宋体"/>
          <w:sz w:val="24"/>
        </w:rPr>
        <w:t>4.3.2 供应商修改或撤回已递交响应文件的书面通知应按照本章第3.7.3项的要求签字或盖章。采购人收到书面通知后，向供应商出具签收凭证。</w:t>
      </w:r>
    </w:p>
    <w:p>
      <w:pPr>
        <w:spacing w:line="360" w:lineRule="auto"/>
        <w:ind w:firstLine="480" w:firstLineChars="200"/>
        <w:rPr>
          <w:rFonts w:ascii="宋体" w:hAnsi="宋体" w:cs="宋体"/>
          <w:sz w:val="24"/>
        </w:rPr>
      </w:pPr>
      <w:r>
        <w:rPr>
          <w:rFonts w:hint="eastAsia" w:ascii="宋体" w:hAnsi="宋体" w:cs="宋体"/>
          <w:sz w:val="24"/>
        </w:rPr>
        <w:t>4.3.3 修改的内容为响应文件的组成部分。修改的响应文件应按照本章第3条、第4条规定进行编制、密封、标记和递交，并标明“修改”字样。</w:t>
      </w:r>
    </w:p>
    <w:p>
      <w:pPr>
        <w:spacing w:line="360" w:lineRule="auto"/>
        <w:rPr>
          <w:rFonts w:ascii="宋体" w:hAnsi="宋体" w:cs="宋体"/>
          <w:b/>
          <w:sz w:val="24"/>
        </w:rPr>
      </w:pPr>
      <w:bookmarkStart w:id="359" w:name="_Toc152045559"/>
      <w:bookmarkStart w:id="360" w:name="_Toc152042335"/>
      <w:bookmarkStart w:id="361" w:name="_Toc144974527"/>
      <w:bookmarkStart w:id="362" w:name="_Toc455080135"/>
      <w:r>
        <w:rPr>
          <w:rFonts w:hint="eastAsia" w:ascii="宋体" w:hAnsi="宋体" w:cs="宋体"/>
          <w:b/>
          <w:sz w:val="24"/>
        </w:rPr>
        <w:t xml:space="preserve">5. </w:t>
      </w:r>
      <w:bookmarkEnd w:id="359"/>
      <w:bookmarkEnd w:id="360"/>
      <w:bookmarkEnd w:id="361"/>
      <w:r>
        <w:rPr>
          <w:rFonts w:hint="eastAsia" w:ascii="宋体" w:hAnsi="宋体" w:cs="宋体"/>
          <w:b/>
          <w:sz w:val="24"/>
        </w:rPr>
        <w:t>磋商</w:t>
      </w:r>
      <w:bookmarkEnd w:id="362"/>
      <w:r>
        <w:rPr>
          <w:rFonts w:hint="eastAsia" w:ascii="宋体" w:hAnsi="宋体" w:cs="宋体"/>
          <w:b/>
          <w:sz w:val="24"/>
        </w:rPr>
        <w:t>会议</w:t>
      </w:r>
    </w:p>
    <w:p>
      <w:pPr>
        <w:spacing w:line="360" w:lineRule="auto"/>
        <w:rPr>
          <w:rFonts w:ascii="宋体" w:hAnsi="宋体" w:cs="宋体"/>
          <w:b/>
          <w:sz w:val="24"/>
        </w:rPr>
      </w:pPr>
      <w:bookmarkStart w:id="363" w:name="_Toc318450703"/>
      <w:bookmarkStart w:id="364" w:name="_Toc26426"/>
      <w:bookmarkStart w:id="365" w:name="_Toc485131180"/>
      <w:bookmarkStart w:id="366" w:name="_Toc455080136"/>
      <w:bookmarkStart w:id="367" w:name="_Toc152042336"/>
      <w:bookmarkStart w:id="368" w:name="_Toc14"/>
      <w:bookmarkStart w:id="369" w:name="_Toc9969"/>
      <w:bookmarkStart w:id="370" w:name="_Toc775"/>
      <w:bookmarkStart w:id="371" w:name="_Toc466298119"/>
      <w:bookmarkStart w:id="372" w:name="_Toc25809"/>
      <w:bookmarkStart w:id="373" w:name="_Toc152045560"/>
      <w:bookmarkStart w:id="374" w:name="_Toc144974528"/>
      <w:bookmarkStart w:id="375" w:name="_Toc455867796"/>
      <w:bookmarkStart w:id="376" w:name="_Toc20333"/>
      <w:bookmarkStart w:id="377" w:name="_Toc25533"/>
      <w:r>
        <w:rPr>
          <w:rFonts w:hint="eastAsia" w:ascii="宋体" w:hAnsi="宋体" w:cs="宋体"/>
          <w:b/>
          <w:sz w:val="24"/>
        </w:rPr>
        <w:t>5.1 磋商时间和地点</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spacing w:line="360" w:lineRule="auto"/>
        <w:ind w:firstLine="480" w:firstLineChars="200"/>
        <w:rPr>
          <w:rFonts w:ascii="宋体" w:hAnsi="宋体" w:cs="宋体"/>
          <w:b/>
          <w:sz w:val="24"/>
        </w:rPr>
      </w:pPr>
      <w:r>
        <w:rPr>
          <w:rFonts w:hint="eastAsia" w:ascii="宋体" w:hAnsi="宋体" w:cs="宋体"/>
          <w:sz w:val="24"/>
        </w:rPr>
        <w:t>采购人在本章第2.2.2项规定的响应文件提交截止时间和供应商须知前附表规定的地点进行磋商，</w:t>
      </w:r>
      <w:bookmarkStart w:id="378" w:name="_Toc17491"/>
      <w:bookmarkStart w:id="379" w:name="_Toc11148"/>
      <w:bookmarkStart w:id="380" w:name="_Toc152045561"/>
      <w:bookmarkStart w:id="381" w:name="_Toc455080137"/>
      <w:bookmarkStart w:id="382" w:name="_Toc318450704"/>
      <w:bookmarkStart w:id="383" w:name="_Toc152042337"/>
      <w:bookmarkStart w:id="384" w:name="_Toc30965"/>
      <w:bookmarkStart w:id="385" w:name="_Toc30074"/>
      <w:bookmarkStart w:id="386" w:name="_Toc144974529"/>
      <w:bookmarkStart w:id="387" w:name="_Toc25911"/>
      <w:bookmarkStart w:id="388" w:name="_Toc3865"/>
      <w:r>
        <w:rPr>
          <w:rFonts w:ascii="宋体" w:hAnsi="宋体" w:cs="宋体"/>
          <w:b/>
          <w:sz w:val="24"/>
        </w:rPr>
        <w:t>届时请</w:t>
      </w:r>
      <w:r>
        <w:rPr>
          <w:rFonts w:hint="eastAsia" w:ascii="宋体" w:hAnsi="宋体" w:cs="宋体"/>
          <w:b/>
          <w:sz w:val="24"/>
        </w:rPr>
        <w:t>供应商</w:t>
      </w:r>
      <w:r>
        <w:fldChar w:fldCharType="begin"/>
      </w:r>
      <w:r>
        <w:instrText xml:space="preserve"> HYPERLINK "http://zhidao.baidu.com/search?word=%E6%B3%95%E5%AE%9A%E4%BB%A3%E8%A1%A8%E4%BA%BA&amp;fr=qb_search_exp&amp;ie=utf8" \t "_blank" </w:instrText>
      </w:r>
      <w:r>
        <w:fldChar w:fldCharType="separate"/>
      </w:r>
      <w:r>
        <w:rPr>
          <w:rFonts w:ascii="宋体" w:hAnsi="宋体" w:cs="宋体"/>
          <w:b/>
          <w:sz w:val="24"/>
        </w:rPr>
        <w:t>法定代表人</w:t>
      </w:r>
      <w:r>
        <w:rPr>
          <w:rFonts w:ascii="宋体" w:hAnsi="宋体" w:cs="宋体"/>
          <w:b/>
          <w:sz w:val="24"/>
        </w:rPr>
        <w:fldChar w:fldCharType="end"/>
      </w:r>
      <w:r>
        <w:rPr>
          <w:rFonts w:ascii="宋体" w:hAnsi="宋体" w:cs="宋体"/>
          <w:b/>
          <w:sz w:val="24"/>
        </w:rPr>
        <w:t>或其授权代表务必出席开标会</w:t>
      </w:r>
      <w:r>
        <w:rPr>
          <w:rFonts w:hint="eastAsia" w:ascii="宋体" w:hAnsi="宋体" w:cs="宋体"/>
          <w:b/>
          <w:sz w:val="24"/>
        </w:rPr>
        <w:t>，不出席视为投标弃权</w:t>
      </w:r>
      <w:r>
        <w:rPr>
          <w:rFonts w:ascii="宋体" w:hAnsi="宋体" w:cs="宋体"/>
          <w:b/>
          <w:sz w:val="24"/>
        </w:rPr>
        <w:t>。</w:t>
      </w:r>
    </w:p>
    <w:p>
      <w:pPr>
        <w:spacing w:line="360" w:lineRule="auto"/>
        <w:rPr>
          <w:rFonts w:ascii="宋体" w:hAnsi="宋体" w:cs="宋体"/>
          <w:b/>
          <w:sz w:val="24"/>
        </w:rPr>
      </w:pPr>
      <w:bookmarkStart w:id="389" w:name="_Toc466298120"/>
      <w:bookmarkStart w:id="390" w:name="_Toc455867797"/>
      <w:bookmarkStart w:id="391" w:name="_Toc485131181"/>
      <w:bookmarkStart w:id="392" w:name="_Toc19890"/>
      <w:r>
        <w:rPr>
          <w:rFonts w:hint="eastAsia" w:ascii="宋体" w:hAnsi="宋体" w:cs="宋体"/>
          <w:b/>
          <w:sz w:val="24"/>
        </w:rPr>
        <w:t>5.2 磋商程序</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pPr>
        <w:spacing w:line="360" w:lineRule="auto"/>
        <w:ind w:firstLine="480" w:firstLineChars="200"/>
        <w:rPr>
          <w:rFonts w:ascii="宋体" w:hAnsi="宋体" w:cs="宋体"/>
          <w:sz w:val="24"/>
        </w:rPr>
      </w:pPr>
      <w:bookmarkStart w:id="393" w:name="_Toc152042338"/>
      <w:bookmarkStart w:id="394" w:name="_Toc152045562"/>
      <w:bookmarkStart w:id="395" w:name="_Toc144974530"/>
      <w:r>
        <w:rPr>
          <w:rFonts w:hint="eastAsia" w:ascii="宋体" w:hAnsi="宋体" w:cs="宋体"/>
          <w:sz w:val="24"/>
        </w:rPr>
        <w:t>5.2.1、磋商小组对磋商文件进行熟悉确认。</w:t>
      </w:r>
    </w:p>
    <w:p>
      <w:pPr>
        <w:spacing w:line="360" w:lineRule="auto"/>
        <w:ind w:firstLine="480" w:firstLineChars="200"/>
        <w:rPr>
          <w:rFonts w:ascii="宋体" w:hAnsi="宋体" w:cs="宋体"/>
          <w:sz w:val="24"/>
        </w:rPr>
      </w:pPr>
      <w:r>
        <w:rPr>
          <w:rFonts w:hint="eastAsia" w:ascii="宋体" w:hAnsi="宋体" w:cs="宋体"/>
          <w:sz w:val="24"/>
        </w:rPr>
        <w:t>5.2.2、磋商小组推选组长，讨论、通过磋商工作流程和磋商要点。</w:t>
      </w:r>
    </w:p>
    <w:p>
      <w:pPr>
        <w:spacing w:line="360" w:lineRule="auto"/>
        <w:ind w:firstLine="480" w:firstLineChars="200"/>
        <w:rPr>
          <w:rFonts w:ascii="宋体" w:hAnsi="宋体" w:cs="宋体"/>
          <w:sz w:val="24"/>
        </w:rPr>
      </w:pPr>
      <w:r>
        <w:rPr>
          <w:rFonts w:hint="eastAsia" w:ascii="宋体" w:hAnsi="宋体" w:cs="宋体"/>
          <w:sz w:val="24"/>
        </w:rPr>
        <w:t>5.2.3、磋商开始后，磋商小组依据磋商文件规定，对响应文件中的形式评审、资格、响应性进行审查，以确定磋商供应商是否具备参与磋商的资格。</w:t>
      </w:r>
    </w:p>
    <w:p>
      <w:pPr>
        <w:spacing w:line="360" w:lineRule="auto"/>
        <w:ind w:left="420" w:leftChars="200" w:firstLine="60" w:firstLineChars="25"/>
        <w:rPr>
          <w:rFonts w:ascii="宋体" w:hAnsi="宋体" w:cs="宋体"/>
          <w:sz w:val="24"/>
        </w:rPr>
      </w:pPr>
      <w:r>
        <w:rPr>
          <w:rFonts w:hint="eastAsia" w:ascii="宋体" w:hAnsi="宋体" w:cs="宋体"/>
          <w:sz w:val="24"/>
        </w:rPr>
        <w:t>5.2.4、磋商小组对通过资格性和符合性审查的响应文件进行评估，确定与各竞标人磋商的具体内容。</w:t>
      </w:r>
    </w:p>
    <w:p>
      <w:pPr>
        <w:spacing w:line="360" w:lineRule="auto"/>
        <w:ind w:firstLine="480" w:firstLineChars="200"/>
        <w:rPr>
          <w:rFonts w:ascii="宋体" w:hAnsi="宋体" w:cs="宋体"/>
          <w:sz w:val="24"/>
        </w:rPr>
      </w:pPr>
      <w:r>
        <w:rPr>
          <w:rFonts w:hint="eastAsia" w:ascii="宋体" w:hAnsi="宋体" w:cs="宋体"/>
          <w:sz w:val="24"/>
        </w:rPr>
        <w:t>5.2.5、围绕磋商要点，磋商小组全体成员集中与单一供应商分别进行磋商。按各供应商递交响应文件的顺序进行磋商。对通过初步评审的供应商进行第2轮报价，依据现场磋商情况，磋商小组有权决定是否进行第3轮报价，若无第3轮报价，则第2轮报价则为最终报价，依据最终提交的报价进行评审。</w:t>
      </w:r>
    </w:p>
    <w:p>
      <w:pPr>
        <w:spacing w:line="360" w:lineRule="auto"/>
        <w:ind w:firstLine="480" w:firstLineChars="200"/>
        <w:rPr>
          <w:rFonts w:ascii="宋体" w:hAnsi="宋体" w:cs="宋体"/>
          <w:sz w:val="24"/>
        </w:rPr>
      </w:pPr>
      <w:r>
        <w:rPr>
          <w:rFonts w:hint="eastAsia" w:ascii="宋体" w:hAnsi="宋体" w:cs="宋体"/>
          <w:sz w:val="24"/>
        </w:rPr>
        <w:t>5.2.5、磋商过程中，磋商小组可以根据磋商情况实质性变动采购需求中的技术、服务要求以及合同草案条款，但不得变动磋商文件中的其他内容。实质性变动的内容需经采购人(业主)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采购需求中的技术、服务要求以及合同草案条款，则供应商的最终报价不得高于首次报价，否则按废标处理。</w:t>
      </w:r>
    </w:p>
    <w:p>
      <w:pPr>
        <w:spacing w:line="360" w:lineRule="auto"/>
        <w:ind w:firstLine="480" w:firstLineChars="200"/>
        <w:rPr>
          <w:rFonts w:ascii="宋体" w:hAnsi="宋体" w:cs="宋体"/>
          <w:sz w:val="24"/>
        </w:rPr>
      </w:pPr>
      <w:r>
        <w:rPr>
          <w:rFonts w:hint="eastAsia" w:ascii="宋体" w:hAnsi="宋体" w:cs="宋体"/>
          <w:sz w:val="24"/>
        </w:rPr>
        <w:t>5.2.6</w:t>
      </w:r>
      <w:r>
        <w:rPr>
          <w:rFonts w:hint="eastAsia" w:ascii="宋体" w:hAnsi="宋体" w:cs="宋体"/>
          <w:color w:val="000000"/>
          <w:sz w:val="24"/>
        </w:rPr>
        <w:t>磋商小组对符合采购需求的供应商进行两轮报价；供应商只有通过形式评审、资格评审、响应性评审后方可进入下一轮报价，在规定的时间内同时提交报价，最终报价不得超过响应文件中报价。供应商若为自主创新产品按最终报价价格扣除5%、若为小型、微型企业供应商的投标价格给予6%的扣除，如有价格扣除，按价格扣除后计算，不做为签订合同的依据。（若为自主创新产品、小型、微型企业需在响应文件中提供证明文件，若未提供，则不予价格扣除）。</w:t>
      </w:r>
    </w:p>
    <w:p>
      <w:pPr>
        <w:spacing w:line="360" w:lineRule="auto"/>
        <w:ind w:firstLine="480" w:firstLineChars="200"/>
        <w:rPr>
          <w:rFonts w:ascii="宋体" w:hAnsi="宋体" w:cs="宋体"/>
          <w:sz w:val="24"/>
        </w:rPr>
      </w:pPr>
      <w:r>
        <w:rPr>
          <w:rFonts w:hint="eastAsia" w:ascii="宋体" w:hAnsi="宋体" w:cs="宋体"/>
          <w:sz w:val="24"/>
        </w:rPr>
        <w:t>5.2.7、经磋商确定最终采购需求，由磋商小组采用综合评分法对通过初步评审的供应商的响应文件进行综合评分。</w:t>
      </w:r>
    </w:p>
    <w:p>
      <w:pPr>
        <w:spacing w:line="360" w:lineRule="auto"/>
        <w:rPr>
          <w:rFonts w:ascii="宋体" w:hAnsi="宋体" w:cs="宋体"/>
          <w:b/>
          <w:sz w:val="24"/>
        </w:rPr>
      </w:pPr>
      <w:bookmarkStart w:id="396" w:name="_Toc455080138"/>
      <w:r>
        <w:rPr>
          <w:rFonts w:hint="eastAsia" w:ascii="宋体" w:hAnsi="宋体" w:cs="宋体"/>
          <w:b/>
          <w:sz w:val="24"/>
        </w:rPr>
        <w:t xml:space="preserve">6. </w:t>
      </w:r>
      <w:bookmarkEnd w:id="393"/>
      <w:bookmarkEnd w:id="394"/>
      <w:bookmarkEnd w:id="395"/>
      <w:r>
        <w:rPr>
          <w:rFonts w:hint="eastAsia" w:ascii="宋体" w:hAnsi="宋体" w:cs="宋体"/>
          <w:b/>
          <w:sz w:val="24"/>
        </w:rPr>
        <w:t>磋商</w:t>
      </w:r>
      <w:bookmarkEnd w:id="396"/>
    </w:p>
    <w:p>
      <w:pPr>
        <w:spacing w:line="360" w:lineRule="auto"/>
        <w:rPr>
          <w:rFonts w:ascii="宋体" w:hAnsi="宋体" w:cs="宋体"/>
          <w:b/>
          <w:sz w:val="24"/>
        </w:rPr>
      </w:pPr>
      <w:bookmarkStart w:id="397" w:name="_Toc22250"/>
      <w:bookmarkStart w:id="398" w:name="_Toc26098"/>
      <w:bookmarkStart w:id="399" w:name="_Toc9808"/>
      <w:bookmarkStart w:id="400" w:name="_Toc152045563"/>
      <w:bookmarkStart w:id="401" w:name="_Toc144974531"/>
      <w:bookmarkStart w:id="402" w:name="_Toc318450706"/>
      <w:bookmarkStart w:id="403" w:name="_Toc152042339"/>
      <w:bookmarkStart w:id="404" w:name="_Toc6186"/>
      <w:bookmarkStart w:id="405" w:name="_Toc455867799"/>
      <w:bookmarkStart w:id="406" w:name="_Toc466298122"/>
      <w:bookmarkStart w:id="407" w:name="_Toc1546"/>
      <w:bookmarkStart w:id="408" w:name="_Toc455080139"/>
      <w:bookmarkStart w:id="409" w:name="_Toc1574"/>
      <w:bookmarkStart w:id="410" w:name="_Toc18985"/>
      <w:r>
        <w:rPr>
          <w:rFonts w:hint="eastAsia" w:ascii="宋体" w:hAnsi="宋体" w:cs="宋体"/>
          <w:b/>
          <w:sz w:val="24"/>
        </w:rPr>
        <w:t xml:space="preserve">6.1 </w:t>
      </w:r>
      <w:bookmarkEnd w:id="397"/>
      <w:bookmarkEnd w:id="398"/>
      <w:bookmarkEnd w:id="399"/>
      <w:bookmarkEnd w:id="400"/>
      <w:bookmarkEnd w:id="401"/>
      <w:bookmarkEnd w:id="402"/>
      <w:bookmarkEnd w:id="403"/>
      <w:r>
        <w:rPr>
          <w:rFonts w:hint="eastAsia" w:ascii="宋体" w:hAnsi="宋体" w:cs="宋体"/>
          <w:b/>
          <w:sz w:val="24"/>
        </w:rPr>
        <w:t>磋商小组</w:t>
      </w:r>
      <w:bookmarkEnd w:id="404"/>
      <w:bookmarkEnd w:id="405"/>
      <w:bookmarkEnd w:id="406"/>
      <w:bookmarkEnd w:id="407"/>
      <w:bookmarkEnd w:id="408"/>
      <w:bookmarkEnd w:id="409"/>
      <w:bookmarkEnd w:id="410"/>
    </w:p>
    <w:p>
      <w:pPr>
        <w:spacing w:line="360" w:lineRule="auto"/>
        <w:ind w:firstLine="480" w:firstLineChars="200"/>
        <w:rPr>
          <w:rFonts w:ascii="宋体" w:hAnsi="宋体" w:cs="宋体"/>
          <w:sz w:val="24"/>
        </w:rPr>
      </w:pPr>
      <w:r>
        <w:rPr>
          <w:rFonts w:hint="eastAsia" w:ascii="宋体" w:hAnsi="宋体" w:cs="宋体"/>
          <w:sz w:val="24"/>
        </w:rPr>
        <w:t>磋商由采购人依法组建的磋商小组负责。磋商小组由采购人代表以及有关技术、经济等方面的专家组成。磋商小组成员人数以及技术、经济等方面专家的确定方式见供应商须知前附表。</w:t>
      </w:r>
    </w:p>
    <w:p>
      <w:pPr>
        <w:spacing w:line="360" w:lineRule="auto"/>
        <w:rPr>
          <w:rFonts w:ascii="宋体" w:hAnsi="宋体" w:cs="宋体"/>
          <w:b/>
          <w:sz w:val="24"/>
        </w:rPr>
      </w:pPr>
      <w:bookmarkStart w:id="411" w:name="_Toc466298123"/>
      <w:bookmarkStart w:id="412" w:name="_Toc25721"/>
      <w:bookmarkStart w:id="413" w:name="_Toc4435"/>
      <w:bookmarkStart w:id="414" w:name="_Toc152042340"/>
      <w:bookmarkStart w:id="415" w:name="_Toc8248"/>
      <w:bookmarkStart w:id="416" w:name="_Toc152045564"/>
      <w:bookmarkStart w:id="417" w:name="_Toc15146"/>
      <w:bookmarkStart w:id="418" w:name="_Toc455867800"/>
      <w:bookmarkStart w:id="419" w:name="_Toc318450707"/>
      <w:bookmarkStart w:id="420" w:name="_Toc455080140"/>
      <w:bookmarkStart w:id="421" w:name="_Toc21102"/>
      <w:bookmarkStart w:id="422" w:name="_Toc144974532"/>
      <w:bookmarkStart w:id="423" w:name="_Toc22143"/>
      <w:bookmarkStart w:id="424" w:name="_Toc8240"/>
      <w:r>
        <w:rPr>
          <w:rFonts w:hint="eastAsia" w:ascii="宋体" w:hAnsi="宋体" w:cs="宋体"/>
          <w:b/>
          <w:sz w:val="24"/>
        </w:rPr>
        <w:t>6.2 磋商原则</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磋商活动遵循公平、公正、科学和择优的原则。</w:t>
      </w:r>
    </w:p>
    <w:p>
      <w:pPr>
        <w:spacing w:line="360" w:lineRule="auto"/>
        <w:rPr>
          <w:rFonts w:ascii="宋体" w:hAnsi="宋体" w:cs="宋体"/>
          <w:b/>
          <w:sz w:val="24"/>
        </w:rPr>
      </w:pPr>
      <w:bookmarkStart w:id="425" w:name="_Toc16725"/>
      <w:bookmarkStart w:id="426" w:name="_Toc8705"/>
      <w:bookmarkStart w:id="427" w:name="_Toc152045565"/>
      <w:bookmarkStart w:id="428" w:name="_Toc15595"/>
      <w:bookmarkStart w:id="429" w:name="_Toc318450708"/>
      <w:bookmarkStart w:id="430" w:name="_Toc144974533"/>
      <w:bookmarkStart w:id="431" w:name="_Toc152042341"/>
      <w:bookmarkStart w:id="432" w:name="_Toc25984"/>
      <w:bookmarkStart w:id="433" w:name="_Toc455867801"/>
      <w:bookmarkStart w:id="434" w:name="_Toc27036"/>
      <w:bookmarkStart w:id="435" w:name="_Toc455080141"/>
      <w:bookmarkStart w:id="436" w:name="_Toc18756"/>
      <w:bookmarkStart w:id="437" w:name="_Toc466298124"/>
      <w:bookmarkStart w:id="438" w:name="_Toc24358"/>
      <w:r>
        <w:rPr>
          <w:rFonts w:hint="eastAsia" w:ascii="宋体" w:hAnsi="宋体" w:cs="宋体"/>
          <w:b/>
          <w:sz w:val="24"/>
        </w:rPr>
        <w:t xml:space="preserve">6.3 </w:t>
      </w:r>
      <w:bookmarkEnd w:id="425"/>
      <w:bookmarkEnd w:id="426"/>
      <w:bookmarkEnd w:id="427"/>
      <w:bookmarkEnd w:id="428"/>
      <w:bookmarkEnd w:id="429"/>
      <w:bookmarkEnd w:id="430"/>
      <w:bookmarkEnd w:id="431"/>
      <w:r>
        <w:rPr>
          <w:rFonts w:hint="eastAsia" w:ascii="宋体" w:hAnsi="宋体" w:cs="宋体"/>
          <w:b/>
          <w:sz w:val="24"/>
        </w:rPr>
        <w:t>磋商</w:t>
      </w:r>
      <w:bookmarkEnd w:id="432"/>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磋商小组按照第三章“评标办法”规定的方法、评审因素、标准和程序对响应文件进行评审。第三章“评标办法”没有规定的方法、评审因素和标准，不作为评标依据。</w:t>
      </w:r>
    </w:p>
    <w:p>
      <w:pPr>
        <w:spacing w:line="360" w:lineRule="auto"/>
        <w:rPr>
          <w:rFonts w:ascii="宋体" w:hAnsi="宋体" w:cs="宋体"/>
          <w:b/>
          <w:sz w:val="24"/>
        </w:rPr>
      </w:pPr>
      <w:bookmarkStart w:id="439" w:name="_Toc144974534"/>
      <w:bookmarkStart w:id="440" w:name="_Toc152042342"/>
      <w:bookmarkStart w:id="441" w:name="_Toc152045566"/>
      <w:bookmarkStart w:id="442" w:name="_Toc455080142"/>
      <w:r>
        <w:rPr>
          <w:rFonts w:hint="eastAsia" w:ascii="宋体" w:hAnsi="宋体" w:cs="宋体"/>
          <w:b/>
          <w:sz w:val="24"/>
        </w:rPr>
        <w:t>7. 合同授予</w:t>
      </w:r>
      <w:bookmarkEnd w:id="439"/>
      <w:bookmarkEnd w:id="440"/>
      <w:bookmarkEnd w:id="441"/>
      <w:bookmarkEnd w:id="442"/>
    </w:p>
    <w:p>
      <w:pPr>
        <w:spacing w:line="360" w:lineRule="auto"/>
        <w:rPr>
          <w:rFonts w:ascii="宋体" w:hAnsi="宋体" w:cs="宋体"/>
          <w:b/>
          <w:sz w:val="24"/>
        </w:rPr>
      </w:pPr>
      <w:bookmarkStart w:id="443" w:name="_Toc28919"/>
      <w:bookmarkStart w:id="444" w:name="_Toc144974535"/>
      <w:bookmarkStart w:id="445" w:name="_Toc25316"/>
      <w:bookmarkStart w:id="446" w:name="_Toc466298126"/>
      <w:bookmarkStart w:id="447" w:name="_Toc455080143"/>
      <w:bookmarkStart w:id="448" w:name="_Toc7358"/>
      <w:bookmarkStart w:id="449" w:name="_Toc152042343"/>
      <w:bookmarkStart w:id="450" w:name="_Toc29664"/>
      <w:bookmarkStart w:id="451" w:name="_Toc152045567"/>
      <w:bookmarkStart w:id="452" w:name="_Toc455867803"/>
      <w:bookmarkStart w:id="453" w:name="_Toc14528"/>
      <w:bookmarkStart w:id="454" w:name="_Toc20987"/>
      <w:bookmarkStart w:id="455" w:name="_Toc318450710"/>
      <w:bookmarkStart w:id="456" w:name="_Toc11409"/>
      <w:r>
        <w:rPr>
          <w:rFonts w:hint="eastAsia" w:ascii="宋体" w:hAnsi="宋体" w:cs="宋体"/>
          <w:b/>
          <w:sz w:val="24"/>
        </w:rPr>
        <w:t>7.1 定标方式</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pPr>
        <w:spacing w:line="360" w:lineRule="auto"/>
        <w:ind w:firstLine="480" w:firstLineChars="200"/>
        <w:rPr>
          <w:rFonts w:ascii="宋体" w:hAnsi="宋体" w:cs="宋体"/>
          <w:sz w:val="24"/>
        </w:rPr>
      </w:pPr>
      <w:bookmarkStart w:id="457" w:name="_Toc152042344"/>
      <w:bookmarkStart w:id="458" w:name="_Toc10868"/>
      <w:bookmarkStart w:id="459" w:name="_Toc144974536"/>
      <w:bookmarkStart w:id="460" w:name="_Toc152045568"/>
      <w:bookmarkStart w:id="461" w:name="_Toc318450711"/>
      <w:bookmarkStart w:id="462" w:name="_Toc28254"/>
      <w:bookmarkStart w:id="463" w:name="_Toc7066"/>
      <w:r>
        <w:rPr>
          <w:rFonts w:hint="eastAsia" w:ascii="宋体" w:hAnsi="宋体" w:cs="宋体"/>
          <w:sz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中标、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pPr>
        <w:spacing w:line="360" w:lineRule="auto"/>
        <w:rPr>
          <w:rFonts w:ascii="宋体" w:hAnsi="宋体" w:cs="宋体"/>
          <w:b/>
          <w:sz w:val="24"/>
        </w:rPr>
      </w:pPr>
      <w:bookmarkStart w:id="464" w:name="_Toc455080144"/>
      <w:bookmarkStart w:id="465" w:name="_Toc455867804"/>
      <w:bookmarkStart w:id="466" w:name="_Toc5428"/>
      <w:bookmarkStart w:id="467" w:name="_Toc15825"/>
      <w:bookmarkStart w:id="468" w:name="_Toc466298127"/>
      <w:bookmarkStart w:id="469" w:name="_Toc10423"/>
      <w:bookmarkStart w:id="470" w:name="_Toc9897"/>
      <w:r>
        <w:rPr>
          <w:rFonts w:hint="eastAsia" w:ascii="宋体" w:hAnsi="宋体" w:cs="宋体"/>
          <w:b/>
          <w:sz w:val="24"/>
        </w:rPr>
        <w:t>7.2 成交通知</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spacing w:line="360" w:lineRule="auto"/>
        <w:ind w:firstLine="480" w:firstLineChars="200"/>
        <w:rPr>
          <w:rFonts w:ascii="宋体" w:hAnsi="宋体" w:cs="宋体"/>
          <w:sz w:val="24"/>
        </w:rPr>
      </w:pPr>
      <w:r>
        <w:rPr>
          <w:rFonts w:hint="eastAsia" w:ascii="宋体" w:hAnsi="宋体" w:cs="宋体"/>
          <w:sz w:val="24"/>
        </w:rPr>
        <w:t>在本章第3.3款规定的磋商有效期内，采购人以书面形式向成交人发出成交通知书，同时将成交结果通知未成交的供应商。</w:t>
      </w:r>
    </w:p>
    <w:p>
      <w:pPr>
        <w:spacing w:line="360" w:lineRule="auto"/>
        <w:rPr>
          <w:rFonts w:ascii="宋体" w:hAnsi="宋体" w:cs="宋体"/>
          <w:b/>
          <w:sz w:val="24"/>
        </w:rPr>
      </w:pPr>
      <w:bookmarkStart w:id="471" w:name="_Toc318450712"/>
      <w:bookmarkStart w:id="472" w:name="_Toc152045570"/>
      <w:bookmarkStart w:id="473" w:name="_Toc15458"/>
      <w:bookmarkStart w:id="474" w:name="_Toc152042346"/>
      <w:bookmarkStart w:id="475" w:name="_Toc27420"/>
      <w:bookmarkStart w:id="476" w:name="_Toc144974538"/>
      <w:bookmarkStart w:id="477" w:name="_Toc455867805"/>
      <w:bookmarkStart w:id="478" w:name="_Toc26915"/>
      <w:bookmarkStart w:id="479" w:name="_Toc21271"/>
      <w:bookmarkStart w:id="480" w:name="_Toc455080145"/>
      <w:bookmarkStart w:id="481" w:name="_Toc13147"/>
      <w:bookmarkStart w:id="482" w:name="_Toc466298128"/>
      <w:bookmarkStart w:id="483" w:name="_Toc24026"/>
      <w:bookmarkStart w:id="484" w:name="_Toc8886"/>
      <w:r>
        <w:rPr>
          <w:rFonts w:hint="eastAsia" w:ascii="宋体" w:hAnsi="宋体" w:cs="宋体"/>
          <w:b/>
          <w:sz w:val="24"/>
        </w:rPr>
        <w:t>7.3 签订合同</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pPr>
        <w:spacing w:line="360" w:lineRule="auto"/>
        <w:ind w:firstLine="480" w:firstLineChars="200"/>
        <w:rPr>
          <w:rFonts w:ascii="宋体" w:hAnsi="宋体" w:cs="宋体"/>
          <w:sz w:val="24"/>
        </w:rPr>
      </w:pPr>
      <w:r>
        <w:rPr>
          <w:rFonts w:hint="eastAsia" w:ascii="宋体" w:hAnsi="宋体" w:cs="宋体"/>
          <w:sz w:val="24"/>
        </w:rPr>
        <w:t xml:space="preserve">7.3.1采购人和成交人应当自成交通知书发出之日起30天内，根据磋商文件和成交人的响应文件订立书面合同。成交人无正当理由拒签合同的，采购人取消其成交资格，其磋商保证金不予退还；给采购人造成的损失超过磋商保证金数额的，成交人还应当对超过部分予以赔偿。 </w:t>
      </w:r>
    </w:p>
    <w:p>
      <w:pPr>
        <w:spacing w:line="360" w:lineRule="auto"/>
        <w:ind w:firstLine="480" w:firstLineChars="200"/>
        <w:rPr>
          <w:rFonts w:ascii="宋体" w:hAnsi="宋体" w:cs="宋体"/>
          <w:sz w:val="24"/>
        </w:rPr>
      </w:pPr>
      <w:r>
        <w:rPr>
          <w:rFonts w:hint="eastAsia" w:ascii="宋体" w:hAnsi="宋体" w:cs="宋体"/>
          <w:sz w:val="24"/>
        </w:rPr>
        <w:t xml:space="preserve">7.3.2 发出成交通知书后，采购人无正当理由拒签合同的，采购人向成交人退还磋商保证金；给成交人造成损失的，还应当赔偿损失。 </w:t>
      </w:r>
      <w:bookmarkStart w:id="485" w:name="_Toc144974542"/>
      <w:bookmarkStart w:id="486" w:name="_Toc152045574"/>
      <w:bookmarkStart w:id="487" w:name="_Toc152042350"/>
    </w:p>
    <w:p>
      <w:pPr>
        <w:spacing w:line="360" w:lineRule="auto"/>
        <w:rPr>
          <w:rFonts w:ascii="宋体" w:hAnsi="宋体" w:cs="宋体"/>
          <w:b/>
          <w:sz w:val="24"/>
        </w:rPr>
      </w:pPr>
      <w:bookmarkStart w:id="488" w:name="_Toc455080146"/>
      <w:r>
        <w:rPr>
          <w:rFonts w:hint="eastAsia" w:ascii="宋体" w:hAnsi="宋体" w:cs="宋体"/>
          <w:b/>
          <w:sz w:val="24"/>
        </w:rPr>
        <w:t>8.重新招标</w:t>
      </w:r>
      <w:bookmarkEnd w:id="488"/>
    </w:p>
    <w:p>
      <w:pPr>
        <w:spacing w:line="360" w:lineRule="auto"/>
        <w:rPr>
          <w:rFonts w:ascii="宋体" w:hAnsi="宋体" w:cs="宋体"/>
          <w:b/>
          <w:sz w:val="24"/>
        </w:rPr>
      </w:pPr>
      <w:bookmarkStart w:id="489" w:name="_Toc16556"/>
      <w:r>
        <w:rPr>
          <w:rFonts w:hint="eastAsia" w:ascii="宋体" w:hAnsi="宋体" w:cs="宋体"/>
          <w:b/>
          <w:sz w:val="24"/>
        </w:rPr>
        <w:t>8.1 重新招标</w:t>
      </w:r>
      <w:bookmarkEnd w:id="489"/>
    </w:p>
    <w:p>
      <w:pPr>
        <w:spacing w:line="360" w:lineRule="auto"/>
        <w:ind w:firstLine="480"/>
        <w:rPr>
          <w:rFonts w:ascii="宋体" w:hAnsi="宋体"/>
          <w:sz w:val="24"/>
        </w:rPr>
      </w:pPr>
      <w:bookmarkStart w:id="490" w:name="_Toc9985"/>
      <w:r>
        <w:rPr>
          <w:rFonts w:hint="eastAsia" w:ascii="宋体" w:hAnsi="宋体"/>
          <w:sz w:val="24"/>
        </w:rPr>
        <w:t>有下列情形之一的，采购人将重新招标：</w:t>
      </w:r>
      <w:bookmarkEnd w:id="490"/>
    </w:p>
    <w:p>
      <w:pPr>
        <w:spacing w:line="360" w:lineRule="auto"/>
        <w:rPr>
          <w:rFonts w:ascii="宋体" w:hAnsi="宋体"/>
          <w:sz w:val="24"/>
        </w:rPr>
      </w:pPr>
      <w:bookmarkStart w:id="491" w:name="_Toc25063"/>
      <w:r>
        <w:rPr>
          <w:rFonts w:hint="eastAsia" w:ascii="宋体" w:hAnsi="宋体"/>
          <w:sz w:val="24"/>
        </w:rPr>
        <w:t xml:space="preserve">   （1）提交响应文件截止时间止，供应商少于3个的；</w:t>
      </w:r>
      <w:bookmarkEnd w:id="491"/>
    </w:p>
    <w:p>
      <w:pPr>
        <w:spacing w:line="360" w:lineRule="auto"/>
        <w:rPr>
          <w:rFonts w:ascii="宋体" w:hAnsi="宋体"/>
          <w:sz w:val="24"/>
        </w:rPr>
      </w:pPr>
      <w:bookmarkStart w:id="492" w:name="_Toc17911"/>
      <w:r>
        <w:rPr>
          <w:rFonts w:hint="eastAsia" w:ascii="宋体" w:hAnsi="宋体"/>
          <w:sz w:val="24"/>
        </w:rPr>
        <w:t>（2）经磋商小组评审后否决所有响应性文件的。</w:t>
      </w:r>
      <w:bookmarkEnd w:id="492"/>
    </w:p>
    <w:p>
      <w:pPr>
        <w:spacing w:line="360" w:lineRule="auto"/>
        <w:rPr>
          <w:rFonts w:ascii="宋体" w:hAnsi="宋体" w:cs="宋体"/>
          <w:b/>
          <w:sz w:val="24"/>
        </w:rPr>
      </w:pPr>
      <w:bookmarkStart w:id="493" w:name="_Toc455080147"/>
      <w:r>
        <w:rPr>
          <w:rFonts w:hint="eastAsia" w:ascii="宋体" w:hAnsi="宋体" w:cs="宋体"/>
          <w:b/>
          <w:sz w:val="24"/>
        </w:rPr>
        <w:t>9.纪律和监督</w:t>
      </w:r>
      <w:bookmarkEnd w:id="485"/>
      <w:bookmarkEnd w:id="486"/>
      <w:bookmarkEnd w:id="487"/>
      <w:bookmarkEnd w:id="493"/>
    </w:p>
    <w:p>
      <w:pPr>
        <w:spacing w:line="360" w:lineRule="auto"/>
        <w:rPr>
          <w:rFonts w:ascii="宋体" w:hAnsi="宋体" w:cs="宋体"/>
          <w:b/>
          <w:sz w:val="24"/>
        </w:rPr>
      </w:pPr>
      <w:bookmarkStart w:id="494" w:name="_Toc12992"/>
      <w:bookmarkStart w:id="495" w:name="_Toc152045575"/>
      <w:bookmarkStart w:id="496" w:name="_Toc455867808"/>
      <w:bookmarkStart w:id="497" w:name="_Toc15592"/>
      <w:bookmarkStart w:id="498" w:name="_Toc1884"/>
      <w:bookmarkStart w:id="499" w:name="_Toc20009"/>
      <w:bookmarkStart w:id="500" w:name="_Toc318450714"/>
      <w:bookmarkStart w:id="501" w:name="_Toc144974543"/>
      <w:bookmarkStart w:id="502" w:name="_Toc152042351"/>
      <w:bookmarkStart w:id="503" w:name="_Toc19159"/>
      <w:bookmarkStart w:id="504" w:name="_Toc1282"/>
      <w:bookmarkStart w:id="505" w:name="_Toc13970"/>
      <w:bookmarkStart w:id="506" w:name="_Toc455080148"/>
      <w:bookmarkStart w:id="507" w:name="_Toc466298131"/>
      <w:r>
        <w:rPr>
          <w:rFonts w:hint="eastAsia" w:ascii="宋体" w:hAnsi="宋体" w:cs="宋体"/>
          <w:b/>
          <w:sz w:val="24"/>
        </w:rPr>
        <w:t>9.1 对采购人的纪律要求</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spacing w:line="360" w:lineRule="auto"/>
        <w:ind w:firstLine="480" w:firstLineChars="200"/>
        <w:rPr>
          <w:rFonts w:ascii="宋体" w:hAnsi="宋体" w:cs="宋体"/>
          <w:sz w:val="24"/>
        </w:rPr>
      </w:pPr>
      <w:r>
        <w:rPr>
          <w:rFonts w:hint="eastAsia" w:ascii="宋体" w:hAnsi="宋体" w:cs="宋体"/>
          <w:sz w:val="24"/>
        </w:rPr>
        <w:t>采购人不得泄漏磋商活动中应当保密的情况和资料，不得与供应商串通损害国家利益、社会公共利益或者他人合法权益。</w:t>
      </w:r>
    </w:p>
    <w:p>
      <w:pPr>
        <w:spacing w:line="360" w:lineRule="auto"/>
        <w:rPr>
          <w:rFonts w:ascii="宋体" w:hAnsi="宋体" w:cs="宋体"/>
          <w:b/>
          <w:sz w:val="24"/>
        </w:rPr>
      </w:pPr>
      <w:bookmarkStart w:id="508" w:name="_Toc152042352"/>
      <w:bookmarkStart w:id="509" w:name="_Toc7572"/>
      <w:bookmarkStart w:id="510" w:name="_Toc3089"/>
      <w:bookmarkStart w:id="511" w:name="_Toc144974544"/>
      <w:bookmarkStart w:id="512" w:name="_Toc455867809"/>
      <w:bookmarkStart w:id="513" w:name="_Toc318450715"/>
      <w:bookmarkStart w:id="514" w:name="_Toc18604"/>
      <w:bookmarkStart w:id="515" w:name="_Toc455080149"/>
      <w:bookmarkStart w:id="516" w:name="_Toc21646"/>
      <w:bookmarkStart w:id="517" w:name="_Toc466298132"/>
      <w:bookmarkStart w:id="518" w:name="_Toc8077"/>
      <w:bookmarkStart w:id="519" w:name="_Toc27698"/>
      <w:bookmarkStart w:id="520" w:name="_Toc152045576"/>
      <w:bookmarkStart w:id="521" w:name="_Toc1743"/>
      <w:r>
        <w:rPr>
          <w:rFonts w:hint="eastAsia" w:ascii="宋体" w:hAnsi="宋体" w:cs="宋体"/>
          <w:b/>
          <w:sz w:val="24"/>
        </w:rPr>
        <w:t>9.2 对供应商的纪律要求</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spacing w:line="360" w:lineRule="auto"/>
        <w:ind w:firstLine="480" w:firstLineChars="200"/>
        <w:rPr>
          <w:rFonts w:ascii="宋体" w:hAnsi="宋体" w:cs="宋体"/>
          <w:sz w:val="24"/>
        </w:rPr>
      </w:pPr>
      <w:r>
        <w:rPr>
          <w:rFonts w:hint="eastAsia" w:ascii="宋体" w:hAnsi="宋体" w:cs="宋体"/>
          <w:sz w:val="24"/>
        </w:rPr>
        <w:t>供应商不得相互串通或者与采购人串通，不得向采购人或者磋商小组行贿谋取中标，不得以他人名义投标或者以其他方式弄虚作假骗取中标；供应商不得以任何方式干扰、影响评标工作。</w:t>
      </w:r>
    </w:p>
    <w:p>
      <w:pPr>
        <w:spacing w:line="360" w:lineRule="auto"/>
        <w:rPr>
          <w:rFonts w:ascii="宋体" w:hAnsi="宋体" w:cs="宋体"/>
          <w:b/>
          <w:sz w:val="24"/>
        </w:rPr>
      </w:pPr>
      <w:bookmarkStart w:id="522" w:name="_Toc466298133"/>
      <w:bookmarkStart w:id="523" w:name="_Toc455080150"/>
      <w:bookmarkStart w:id="524" w:name="_Toc152045577"/>
      <w:bookmarkStart w:id="525" w:name="_Toc25241"/>
      <w:bookmarkStart w:id="526" w:name="_Toc318450716"/>
      <w:bookmarkStart w:id="527" w:name="_Toc7439"/>
      <w:bookmarkStart w:id="528" w:name="_Toc32320"/>
      <w:bookmarkStart w:id="529" w:name="_Toc455867810"/>
      <w:bookmarkStart w:id="530" w:name="_Toc7107"/>
      <w:bookmarkStart w:id="531" w:name="_Toc152042353"/>
      <w:bookmarkStart w:id="532" w:name="_Toc14682"/>
      <w:bookmarkStart w:id="533" w:name="_Toc30153"/>
      <w:bookmarkStart w:id="534" w:name="_Toc28813"/>
      <w:bookmarkStart w:id="535" w:name="_Toc144974545"/>
      <w:r>
        <w:rPr>
          <w:rFonts w:hint="eastAsia" w:ascii="宋体" w:hAnsi="宋体" w:cs="宋体"/>
          <w:b/>
          <w:sz w:val="24"/>
        </w:rPr>
        <w:t>9.3 对磋商小组成员的纪律要求</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pPr>
        <w:spacing w:line="360" w:lineRule="auto"/>
        <w:ind w:firstLine="480" w:firstLineChars="200"/>
        <w:rPr>
          <w:rFonts w:ascii="宋体" w:hAnsi="宋体" w:cs="宋体"/>
          <w:sz w:val="24"/>
        </w:rPr>
      </w:pPr>
      <w:r>
        <w:rPr>
          <w:rFonts w:hint="eastAsia" w:ascii="宋体" w:hAnsi="宋体" w:cs="宋体"/>
          <w:sz w:val="24"/>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标办法”没有规定的评审因素和标准进行评标。</w:t>
      </w:r>
    </w:p>
    <w:p>
      <w:pPr>
        <w:spacing w:line="360" w:lineRule="auto"/>
        <w:rPr>
          <w:rFonts w:ascii="宋体" w:hAnsi="宋体" w:cs="宋体"/>
          <w:b/>
          <w:sz w:val="24"/>
        </w:rPr>
      </w:pPr>
      <w:bookmarkStart w:id="536" w:name="_Toc20546"/>
      <w:bookmarkStart w:id="537" w:name="_Toc152042354"/>
      <w:bookmarkStart w:id="538" w:name="_Toc455080151"/>
      <w:bookmarkStart w:id="539" w:name="_Toc27559"/>
      <w:bookmarkStart w:id="540" w:name="_Toc152045578"/>
      <w:bookmarkStart w:id="541" w:name="_Toc18305"/>
      <w:bookmarkStart w:id="542" w:name="_Toc318450717"/>
      <w:bookmarkStart w:id="543" w:name="_Toc9063"/>
      <w:bookmarkStart w:id="544" w:name="_Toc455867811"/>
      <w:bookmarkStart w:id="545" w:name="_Toc466298134"/>
      <w:bookmarkStart w:id="546" w:name="_Toc24"/>
      <w:bookmarkStart w:id="547" w:name="_Toc23717"/>
      <w:bookmarkStart w:id="548" w:name="_Toc7368"/>
      <w:bookmarkStart w:id="549" w:name="_Toc144974546"/>
      <w:r>
        <w:rPr>
          <w:rFonts w:hint="eastAsia" w:ascii="宋体" w:hAnsi="宋体" w:cs="宋体"/>
          <w:b/>
          <w:sz w:val="24"/>
        </w:rPr>
        <w:t>9.4 对与评标活动有关的工作人员的纪律要求</w:t>
      </w:r>
      <w:bookmarkEnd w:id="536"/>
      <w:bookmarkEnd w:id="537"/>
      <w:bookmarkEnd w:id="538"/>
      <w:bookmarkEnd w:id="539"/>
      <w:bookmarkEnd w:id="540"/>
      <w:bookmarkEnd w:id="541"/>
      <w:bookmarkEnd w:id="542"/>
      <w:bookmarkEnd w:id="543"/>
      <w:bookmarkEnd w:id="544"/>
      <w:bookmarkEnd w:id="545"/>
      <w:bookmarkEnd w:id="546"/>
      <w:bookmarkEnd w:id="547"/>
      <w:bookmarkEnd w:id="548"/>
    </w:p>
    <w:p>
      <w:pPr>
        <w:spacing w:line="360" w:lineRule="auto"/>
        <w:ind w:firstLine="480" w:firstLineChars="200"/>
        <w:rPr>
          <w:rFonts w:ascii="宋体" w:hAnsi="宋体" w:cs="宋体"/>
          <w:sz w:val="24"/>
        </w:rPr>
      </w:pPr>
      <w:bookmarkStart w:id="550" w:name="_Toc152042355"/>
      <w:r>
        <w:rPr>
          <w:rFonts w:hint="eastAsia" w:ascii="宋体" w:hAnsi="宋体" w:cs="宋体"/>
          <w:sz w:val="24"/>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550"/>
    </w:p>
    <w:p>
      <w:pPr>
        <w:spacing w:line="360" w:lineRule="auto"/>
        <w:rPr>
          <w:rFonts w:ascii="宋体" w:hAnsi="宋体" w:cs="宋体"/>
          <w:b/>
          <w:sz w:val="24"/>
        </w:rPr>
      </w:pPr>
      <w:bookmarkStart w:id="551" w:name="_Toc455080152"/>
      <w:bookmarkStart w:id="552" w:name="_Toc1820"/>
      <w:bookmarkStart w:id="553" w:name="_Toc466298135"/>
      <w:bookmarkStart w:id="554" w:name="_Toc455867812"/>
      <w:bookmarkStart w:id="555" w:name="_Toc152045579"/>
      <w:bookmarkStart w:id="556" w:name="_Toc3303"/>
      <w:bookmarkStart w:id="557" w:name="_Toc8074"/>
      <w:bookmarkStart w:id="558" w:name="_Toc3617"/>
      <w:bookmarkStart w:id="559" w:name="_Toc17735"/>
      <w:bookmarkStart w:id="560" w:name="_Toc318450718"/>
      <w:bookmarkStart w:id="561" w:name="_Toc25751"/>
      <w:bookmarkStart w:id="562" w:name="_Toc152042356"/>
      <w:bookmarkStart w:id="563" w:name="_Toc16980"/>
      <w:r>
        <w:rPr>
          <w:rFonts w:hint="eastAsia" w:ascii="宋体" w:hAnsi="宋体" w:cs="宋体"/>
          <w:b/>
          <w:sz w:val="24"/>
        </w:rPr>
        <w:t>9.5 投诉</w:t>
      </w:r>
      <w:bookmarkEnd w:id="549"/>
      <w:bookmarkEnd w:id="551"/>
      <w:bookmarkEnd w:id="552"/>
      <w:bookmarkEnd w:id="553"/>
      <w:bookmarkEnd w:id="554"/>
      <w:bookmarkEnd w:id="555"/>
      <w:bookmarkEnd w:id="556"/>
      <w:bookmarkEnd w:id="557"/>
      <w:bookmarkEnd w:id="558"/>
      <w:bookmarkEnd w:id="559"/>
      <w:bookmarkEnd w:id="560"/>
      <w:bookmarkEnd w:id="561"/>
      <w:bookmarkEnd w:id="562"/>
      <w:bookmarkEnd w:id="563"/>
    </w:p>
    <w:p>
      <w:pPr>
        <w:spacing w:line="360" w:lineRule="auto"/>
        <w:ind w:firstLine="480" w:firstLineChars="200"/>
        <w:rPr>
          <w:rFonts w:ascii="宋体" w:hAnsi="宋体" w:cs="宋体"/>
          <w:sz w:val="24"/>
        </w:rPr>
      </w:pPr>
      <w:r>
        <w:rPr>
          <w:rFonts w:hint="eastAsia" w:ascii="宋体" w:hAnsi="宋体" w:cs="宋体"/>
          <w:sz w:val="24"/>
        </w:rPr>
        <w:t>供应商和其他利害关系人认为本次磋商活动违反法律、法规和规章规定的，有权向有关行政监督部门投诉。</w:t>
      </w:r>
    </w:p>
    <w:p>
      <w:pPr>
        <w:spacing w:line="360" w:lineRule="auto"/>
        <w:rPr>
          <w:rFonts w:ascii="宋体" w:hAnsi="宋体" w:cs="宋体"/>
          <w:b/>
          <w:sz w:val="24"/>
        </w:rPr>
      </w:pPr>
      <w:bookmarkStart w:id="564" w:name="_Toc152042357"/>
      <w:bookmarkStart w:id="565" w:name="_Toc152045580"/>
      <w:bookmarkStart w:id="566" w:name="_Toc455080153"/>
      <w:bookmarkStart w:id="567" w:name="_Toc144974547"/>
      <w:r>
        <w:rPr>
          <w:rFonts w:hint="eastAsia" w:ascii="宋体" w:hAnsi="宋体" w:cs="宋体"/>
          <w:b/>
          <w:sz w:val="24"/>
        </w:rPr>
        <w:t>10.需要补充的其他</w:t>
      </w:r>
      <w:bookmarkEnd w:id="564"/>
      <w:bookmarkEnd w:id="565"/>
      <w:bookmarkEnd w:id="566"/>
      <w:bookmarkEnd w:id="567"/>
      <w:bookmarkStart w:id="568" w:name="_Toc466298137"/>
      <w:bookmarkStart w:id="569" w:name="_Toc455867814"/>
      <w:bookmarkStart w:id="570" w:name="_Toc455080154"/>
      <w:bookmarkStart w:id="571" w:name="_Toc152042375"/>
      <w:bookmarkStart w:id="572" w:name="_Toc144974565"/>
      <w:bookmarkStart w:id="573" w:name="_Toc152045598"/>
      <w:r>
        <w:rPr>
          <w:rFonts w:hint="eastAsia" w:ascii="宋体" w:hAnsi="宋体" w:cs="宋体"/>
          <w:b/>
          <w:sz w:val="24"/>
        </w:rPr>
        <w:t>内容</w:t>
      </w:r>
    </w:p>
    <w:p>
      <w:pPr>
        <w:spacing w:line="360" w:lineRule="auto"/>
        <w:ind w:firstLine="480" w:firstLineChars="200"/>
        <w:rPr>
          <w:sz w:val="24"/>
        </w:rPr>
      </w:pPr>
      <w:r>
        <w:rPr>
          <w:rFonts w:hint="eastAsia"/>
          <w:sz w:val="24"/>
        </w:rPr>
        <w:t>需要补充的其他内容：见供应商须知前附表</w:t>
      </w:r>
    </w:p>
    <w:p>
      <w:pPr>
        <w:pStyle w:val="3"/>
        <w:spacing w:before="120" w:after="120" w:line="400" w:lineRule="exact"/>
        <w:jc w:val="center"/>
        <w:rPr>
          <w:rFonts w:ascii="宋体" w:hAnsi="宋体" w:cs="宋体"/>
          <w:bCs w:val="0"/>
          <w:sz w:val="32"/>
        </w:rPr>
      </w:pPr>
      <w:r>
        <w:rPr>
          <w:rFonts w:hint="eastAsia"/>
        </w:rPr>
        <w:br w:type="page"/>
      </w:r>
      <w:bookmarkStart w:id="574" w:name="_Toc22114894"/>
      <w:r>
        <w:rPr>
          <w:rFonts w:hint="eastAsia" w:ascii="宋体" w:hAnsi="宋体" w:cs="宋体"/>
          <w:bCs w:val="0"/>
          <w:sz w:val="32"/>
        </w:rPr>
        <w:t>第三章  评标办法（综合评分法）</w:t>
      </w:r>
      <w:bookmarkEnd w:id="568"/>
      <w:bookmarkEnd w:id="569"/>
      <w:bookmarkEnd w:id="570"/>
      <w:bookmarkEnd w:id="574"/>
    </w:p>
    <w:bookmarkEnd w:id="571"/>
    <w:bookmarkEnd w:id="572"/>
    <w:bookmarkEnd w:id="573"/>
    <w:p>
      <w:pPr>
        <w:pStyle w:val="98"/>
        <w:spacing w:line="240" w:lineRule="atLeast"/>
        <w:jc w:val="center"/>
        <w:rPr>
          <w:rFonts w:hAnsi="宋体"/>
          <w:b/>
          <w:color w:val="auto"/>
          <w:sz w:val="28"/>
          <w:szCs w:val="28"/>
        </w:rPr>
      </w:pPr>
      <w:bookmarkStart w:id="575" w:name="_Toc455867816"/>
      <w:bookmarkStart w:id="576" w:name="_Toc455080156"/>
      <w:bookmarkStart w:id="577" w:name="_Toc466298139"/>
      <w:bookmarkStart w:id="578" w:name="_Toc152042376"/>
      <w:bookmarkStart w:id="579" w:name="_Toc281405527"/>
      <w:bookmarkStart w:id="580" w:name="_Toc318450721"/>
      <w:bookmarkStart w:id="581" w:name="_Toc152045599"/>
      <w:bookmarkStart w:id="582" w:name="_Toc485131200"/>
      <w:bookmarkStart w:id="583" w:name="_Toc144974566"/>
      <w:bookmarkStart w:id="584" w:name="_Toc27806"/>
      <w:r>
        <w:rPr>
          <w:rFonts w:hint="eastAsia" w:hAnsi="宋体"/>
          <w:b/>
          <w:color w:val="auto"/>
          <w:sz w:val="28"/>
          <w:szCs w:val="28"/>
        </w:rPr>
        <w:t>评标办法前附表</w:t>
      </w:r>
      <w:bookmarkEnd w:id="575"/>
      <w:bookmarkEnd w:id="576"/>
      <w:bookmarkEnd w:id="577"/>
      <w:bookmarkEnd w:id="578"/>
      <w:bookmarkEnd w:id="579"/>
      <w:bookmarkEnd w:id="580"/>
      <w:bookmarkEnd w:id="581"/>
      <w:bookmarkEnd w:id="582"/>
      <w:bookmarkEnd w:id="583"/>
      <w:bookmarkEnd w:id="584"/>
    </w:p>
    <w:tbl>
      <w:tblPr>
        <w:tblStyle w:val="39"/>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0"/>
        <w:gridCol w:w="1552"/>
        <w:gridCol w:w="1877"/>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702" w:type="dxa"/>
            <w:gridSpan w:val="2"/>
            <w:tcBorders>
              <w:top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szCs w:val="21"/>
              </w:rPr>
            </w:pPr>
            <w:r>
              <w:rPr>
                <w:rFonts w:hint="eastAsia" w:ascii="宋体" w:hAnsi="宋体" w:cs="宋体"/>
                <w:b/>
                <w:szCs w:val="21"/>
              </w:rPr>
              <w:t>条款号</w:t>
            </w:r>
          </w:p>
        </w:tc>
        <w:tc>
          <w:tcPr>
            <w:tcW w:w="187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szCs w:val="21"/>
              </w:rPr>
            </w:pPr>
            <w:r>
              <w:rPr>
                <w:rFonts w:hint="eastAsia" w:ascii="宋体" w:hAnsi="宋体" w:cs="宋体"/>
                <w:b/>
                <w:szCs w:val="21"/>
              </w:rPr>
              <w:t>评审因素</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0" w:type="dxa"/>
            <w:tcBorders>
              <w:top w:val="single" w:color="auto" w:sz="4" w:space="0"/>
              <w:right w:val="single" w:color="auto" w:sz="4" w:space="0"/>
            </w:tcBorders>
            <w:vAlign w:val="center"/>
          </w:tcPr>
          <w:p>
            <w:pPr>
              <w:pStyle w:val="98"/>
              <w:spacing w:line="240" w:lineRule="atLeast"/>
              <w:jc w:val="center"/>
              <w:rPr>
                <w:rFonts w:hAnsi="宋体"/>
                <w:color w:val="auto"/>
                <w:sz w:val="21"/>
                <w:szCs w:val="21"/>
              </w:rPr>
            </w:pPr>
            <w:r>
              <w:rPr>
                <w:rFonts w:hint="eastAsia" w:hAnsi="宋体"/>
                <w:color w:val="auto"/>
                <w:sz w:val="21"/>
                <w:szCs w:val="21"/>
              </w:rPr>
              <w:t>2.1.1</w:t>
            </w:r>
          </w:p>
        </w:tc>
        <w:tc>
          <w:tcPr>
            <w:tcW w:w="1552" w:type="dxa"/>
            <w:tcBorders>
              <w:top w:val="single" w:color="auto" w:sz="4" w:space="0"/>
              <w:right w:val="single" w:color="auto" w:sz="4" w:space="0"/>
            </w:tcBorders>
            <w:vAlign w:val="center"/>
          </w:tcPr>
          <w:p>
            <w:pPr>
              <w:pStyle w:val="98"/>
              <w:spacing w:line="240" w:lineRule="atLeast"/>
              <w:jc w:val="center"/>
              <w:rPr>
                <w:rFonts w:hAnsi="宋体"/>
                <w:color w:val="auto"/>
                <w:sz w:val="21"/>
                <w:szCs w:val="21"/>
              </w:rPr>
            </w:pPr>
            <w:r>
              <w:rPr>
                <w:rFonts w:hint="eastAsia" w:hAnsi="宋体"/>
                <w:color w:val="auto"/>
                <w:sz w:val="21"/>
                <w:szCs w:val="21"/>
              </w:rPr>
              <w:t>资格评审标准</w:t>
            </w:r>
          </w:p>
        </w:tc>
        <w:tc>
          <w:tcPr>
            <w:tcW w:w="6838" w:type="dxa"/>
            <w:gridSpan w:val="2"/>
            <w:tcBorders>
              <w:top w:val="single" w:color="auto" w:sz="4" w:space="0"/>
              <w:left w:val="single" w:color="auto" w:sz="4" w:space="0"/>
              <w:right w:val="single" w:color="auto" w:sz="4" w:space="0"/>
            </w:tcBorders>
            <w:vAlign w:val="center"/>
          </w:tcPr>
          <w:p>
            <w:pPr>
              <w:pStyle w:val="98"/>
              <w:spacing w:line="240" w:lineRule="atLeast"/>
              <w:jc w:val="center"/>
              <w:rPr>
                <w:rFonts w:hAnsi="宋体"/>
                <w:color w:val="auto"/>
                <w:sz w:val="21"/>
                <w:szCs w:val="21"/>
              </w:rPr>
            </w:pPr>
            <w:r>
              <w:rPr>
                <w:rFonts w:hint="eastAsia" w:hAnsi="宋体"/>
                <w:sz w:val="21"/>
                <w:szCs w:val="21"/>
              </w:rPr>
              <w:t>符合第二章“供应商须知”第1.5.1项规定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0" w:type="dxa"/>
            <w:vMerge w:val="restart"/>
            <w:tcBorders>
              <w:top w:val="single" w:color="auto" w:sz="4" w:space="0"/>
              <w:right w:val="single" w:color="auto" w:sz="4" w:space="0"/>
            </w:tcBorders>
            <w:vAlign w:val="center"/>
          </w:tcPr>
          <w:p>
            <w:pPr>
              <w:pStyle w:val="98"/>
              <w:spacing w:line="240" w:lineRule="atLeast"/>
              <w:jc w:val="center"/>
              <w:rPr>
                <w:rFonts w:hAnsi="宋体"/>
                <w:color w:val="auto"/>
                <w:sz w:val="21"/>
                <w:szCs w:val="21"/>
              </w:rPr>
            </w:pPr>
            <w:r>
              <w:rPr>
                <w:rFonts w:hint="eastAsia" w:hAnsi="宋体"/>
                <w:color w:val="auto"/>
                <w:sz w:val="21"/>
                <w:szCs w:val="21"/>
              </w:rPr>
              <w:t>2.1.2</w:t>
            </w:r>
          </w:p>
        </w:tc>
        <w:tc>
          <w:tcPr>
            <w:tcW w:w="1552" w:type="dxa"/>
            <w:vMerge w:val="restart"/>
            <w:tcBorders>
              <w:top w:val="single" w:color="auto" w:sz="4" w:space="0"/>
              <w:right w:val="single" w:color="auto" w:sz="4" w:space="0"/>
            </w:tcBorders>
            <w:vAlign w:val="center"/>
          </w:tcPr>
          <w:p>
            <w:pPr>
              <w:pStyle w:val="98"/>
              <w:spacing w:line="240" w:lineRule="atLeast"/>
              <w:jc w:val="center"/>
              <w:rPr>
                <w:rFonts w:hAnsi="宋体"/>
                <w:color w:val="auto"/>
                <w:sz w:val="21"/>
                <w:szCs w:val="21"/>
              </w:rPr>
            </w:pPr>
            <w:r>
              <w:rPr>
                <w:rFonts w:hint="eastAsia" w:hAnsi="宋体"/>
                <w:color w:val="auto"/>
                <w:sz w:val="21"/>
                <w:szCs w:val="21"/>
              </w:rPr>
              <w:t>响应性评审标准</w:t>
            </w:r>
          </w:p>
        </w:tc>
        <w:tc>
          <w:tcPr>
            <w:tcW w:w="1877" w:type="dxa"/>
            <w:tcBorders>
              <w:top w:val="single" w:color="auto" w:sz="4" w:space="0"/>
              <w:left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r>
              <w:rPr>
                <w:rFonts w:hint="eastAsia" w:ascii="宋体" w:hAnsi="宋体" w:cs="宋体"/>
                <w:szCs w:val="21"/>
              </w:rPr>
              <w:t>磋商函签字盖章</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r>
              <w:rPr>
                <w:rFonts w:hint="eastAsia" w:ascii="宋体" w:hAnsi="宋体" w:cs="宋体"/>
                <w:szCs w:val="21"/>
              </w:rPr>
              <w:t>有法定代表人或其委托代理人签字或盖章并加盖单位章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0" w:type="dxa"/>
            <w:vMerge w:val="continue"/>
            <w:tcBorders>
              <w:right w:val="single" w:color="auto" w:sz="4" w:space="0"/>
            </w:tcBorders>
            <w:vAlign w:val="center"/>
          </w:tcPr>
          <w:p>
            <w:pPr>
              <w:pStyle w:val="98"/>
              <w:spacing w:line="240" w:lineRule="atLeast"/>
              <w:jc w:val="center"/>
              <w:rPr>
                <w:rFonts w:hAnsi="宋体"/>
                <w:color w:val="auto"/>
                <w:sz w:val="21"/>
                <w:szCs w:val="21"/>
              </w:rPr>
            </w:pPr>
          </w:p>
        </w:tc>
        <w:tc>
          <w:tcPr>
            <w:tcW w:w="1552" w:type="dxa"/>
            <w:vMerge w:val="continue"/>
            <w:tcBorders>
              <w:right w:val="single" w:color="auto" w:sz="4" w:space="0"/>
            </w:tcBorders>
            <w:vAlign w:val="center"/>
          </w:tcPr>
          <w:p>
            <w:pPr>
              <w:pStyle w:val="98"/>
              <w:spacing w:line="240" w:lineRule="atLeast"/>
              <w:jc w:val="center"/>
              <w:rPr>
                <w:rFonts w:hAnsi="宋体"/>
                <w:color w:val="auto"/>
                <w:sz w:val="21"/>
                <w:szCs w:val="21"/>
              </w:rPr>
            </w:pPr>
          </w:p>
        </w:tc>
        <w:tc>
          <w:tcPr>
            <w:tcW w:w="1877" w:type="dxa"/>
            <w:tcBorders>
              <w:top w:val="single" w:color="auto" w:sz="4" w:space="0"/>
              <w:left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响应范围</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r>
              <w:rPr>
                <w:rFonts w:hint="eastAsia" w:ascii="宋体" w:hAnsi="宋体" w:cs="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0" w:type="dxa"/>
            <w:vMerge w:val="continue"/>
            <w:tcBorders>
              <w:right w:val="single" w:color="auto" w:sz="4" w:space="0"/>
            </w:tcBorders>
            <w:vAlign w:val="center"/>
          </w:tcPr>
          <w:p>
            <w:pPr>
              <w:adjustRightInd w:val="0"/>
              <w:spacing w:line="360" w:lineRule="auto"/>
              <w:jc w:val="center"/>
              <w:textAlignment w:val="baseline"/>
              <w:rPr>
                <w:rFonts w:ascii="宋体" w:hAnsi="宋体" w:cs="宋体"/>
                <w:szCs w:val="21"/>
              </w:rPr>
            </w:pPr>
          </w:p>
        </w:tc>
        <w:tc>
          <w:tcPr>
            <w:tcW w:w="1552" w:type="dxa"/>
            <w:vMerge w:val="continue"/>
            <w:tcBorders>
              <w:right w:val="single" w:color="auto" w:sz="4" w:space="0"/>
            </w:tcBorders>
            <w:vAlign w:val="center"/>
          </w:tcPr>
          <w:p>
            <w:pPr>
              <w:adjustRightInd w:val="0"/>
              <w:spacing w:line="360" w:lineRule="auto"/>
              <w:jc w:val="center"/>
              <w:textAlignment w:val="baseline"/>
              <w:rPr>
                <w:rFonts w:ascii="宋体" w:hAnsi="宋体" w:cs="宋体"/>
                <w:kern w:val="0"/>
                <w:szCs w:val="21"/>
              </w:rPr>
            </w:pPr>
          </w:p>
        </w:tc>
        <w:tc>
          <w:tcPr>
            <w:tcW w:w="1877" w:type="dxa"/>
            <w:tcBorders>
              <w:top w:val="single" w:color="auto" w:sz="4" w:space="0"/>
              <w:left w:val="single" w:color="auto" w:sz="4" w:space="0"/>
              <w:right w:val="single" w:color="auto" w:sz="4" w:space="0"/>
            </w:tcBorders>
            <w:vAlign w:val="center"/>
          </w:tcPr>
          <w:p>
            <w:pPr>
              <w:spacing w:line="360" w:lineRule="auto"/>
              <w:ind w:firstLine="315" w:firstLineChars="150"/>
              <w:rPr>
                <w:rFonts w:hint="eastAsia" w:ascii="宋体" w:hAnsi="宋体" w:eastAsia="宋体" w:cs="宋体"/>
                <w:szCs w:val="21"/>
                <w:lang w:eastAsia="zh-CN"/>
              </w:rPr>
            </w:pPr>
            <w:r>
              <w:rPr>
                <w:rFonts w:hint="eastAsia" w:ascii="宋体" w:hAnsi="宋体" w:cs="宋体"/>
                <w:szCs w:val="21"/>
                <w:lang w:eastAsia="zh-CN"/>
              </w:rPr>
              <w:t>服务期限</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r>
              <w:rPr>
                <w:rFonts w:hint="eastAsia" w:ascii="宋体" w:hAnsi="宋体" w:cs="宋体"/>
                <w:szCs w:val="21"/>
              </w:rPr>
              <w:t>符合第二章“供应商须知”第1.4.2项规定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0" w:type="dxa"/>
            <w:vMerge w:val="continue"/>
            <w:tcBorders>
              <w:right w:val="single" w:color="auto" w:sz="4" w:space="0"/>
            </w:tcBorders>
            <w:vAlign w:val="center"/>
          </w:tcPr>
          <w:p>
            <w:pPr>
              <w:adjustRightInd w:val="0"/>
              <w:spacing w:line="360" w:lineRule="auto"/>
              <w:jc w:val="center"/>
              <w:textAlignment w:val="baseline"/>
              <w:rPr>
                <w:rFonts w:ascii="宋体" w:hAnsi="宋体" w:cs="宋体"/>
                <w:szCs w:val="21"/>
              </w:rPr>
            </w:pPr>
          </w:p>
        </w:tc>
        <w:tc>
          <w:tcPr>
            <w:tcW w:w="1552" w:type="dxa"/>
            <w:vMerge w:val="continue"/>
            <w:tcBorders>
              <w:right w:val="single" w:color="auto" w:sz="4" w:space="0"/>
            </w:tcBorders>
            <w:vAlign w:val="center"/>
          </w:tcPr>
          <w:p>
            <w:pPr>
              <w:adjustRightInd w:val="0"/>
              <w:spacing w:line="360" w:lineRule="auto"/>
              <w:jc w:val="center"/>
              <w:textAlignment w:val="baseline"/>
              <w:rPr>
                <w:rFonts w:ascii="宋体" w:hAnsi="宋体" w:cs="宋体"/>
                <w:kern w:val="0"/>
                <w:szCs w:val="21"/>
              </w:rPr>
            </w:pPr>
          </w:p>
        </w:tc>
        <w:tc>
          <w:tcPr>
            <w:tcW w:w="1877"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szCs w:val="21"/>
              </w:rPr>
              <w:t>磋商有效期</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r>
              <w:rPr>
                <w:rFonts w:hint="eastAsia" w:ascii="宋体" w:hAnsi="宋体" w:cs="宋体"/>
                <w:szCs w:val="21"/>
              </w:rPr>
              <w:t>符合第二章“供应商须知”第3.3.1项规定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0" w:type="dxa"/>
            <w:vMerge w:val="continue"/>
            <w:tcBorders>
              <w:right w:val="single" w:color="auto" w:sz="4" w:space="0"/>
            </w:tcBorders>
            <w:vAlign w:val="center"/>
          </w:tcPr>
          <w:p>
            <w:pPr>
              <w:adjustRightInd w:val="0"/>
              <w:spacing w:line="360" w:lineRule="auto"/>
              <w:jc w:val="center"/>
              <w:textAlignment w:val="baseline"/>
              <w:rPr>
                <w:rFonts w:ascii="宋体" w:hAnsi="宋体" w:cs="宋体"/>
                <w:szCs w:val="21"/>
              </w:rPr>
            </w:pPr>
          </w:p>
        </w:tc>
        <w:tc>
          <w:tcPr>
            <w:tcW w:w="1552" w:type="dxa"/>
            <w:vMerge w:val="continue"/>
            <w:tcBorders>
              <w:right w:val="single" w:color="auto" w:sz="4" w:space="0"/>
            </w:tcBorders>
            <w:vAlign w:val="center"/>
          </w:tcPr>
          <w:p>
            <w:pPr>
              <w:adjustRightInd w:val="0"/>
              <w:spacing w:line="360" w:lineRule="auto"/>
              <w:jc w:val="center"/>
              <w:textAlignment w:val="baseline"/>
              <w:rPr>
                <w:rFonts w:ascii="宋体" w:hAnsi="宋体" w:cs="宋体"/>
                <w:kern w:val="0"/>
                <w:szCs w:val="21"/>
              </w:rPr>
            </w:pPr>
          </w:p>
        </w:tc>
        <w:tc>
          <w:tcPr>
            <w:tcW w:w="1877"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szCs w:val="21"/>
              </w:rPr>
              <w:t>磋商</w:t>
            </w:r>
            <w:r>
              <w:rPr>
                <w:rFonts w:ascii="宋体" w:hAnsi="宋体"/>
                <w:szCs w:val="21"/>
              </w:rPr>
              <w:t>保证金</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r>
              <w:rPr>
                <w:rFonts w:hint="eastAsia" w:ascii="宋体" w:hAnsi="宋体" w:cs="宋体"/>
                <w:szCs w:val="21"/>
              </w:rPr>
              <w:t>符合第二章“供应商须知”第3.4.1项规定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50" w:type="dxa"/>
            <w:vMerge w:val="continue"/>
            <w:tcBorders>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p>
        </w:tc>
        <w:tc>
          <w:tcPr>
            <w:tcW w:w="1552" w:type="dxa"/>
            <w:vMerge w:val="continue"/>
            <w:tcBorders>
              <w:bottom w:val="single" w:color="auto" w:sz="4" w:space="0"/>
              <w:right w:val="single" w:color="auto" w:sz="4" w:space="0"/>
            </w:tcBorders>
            <w:vAlign w:val="center"/>
          </w:tcPr>
          <w:p>
            <w:pPr>
              <w:adjustRightInd w:val="0"/>
              <w:spacing w:line="360" w:lineRule="auto"/>
              <w:jc w:val="center"/>
              <w:textAlignment w:val="baseline"/>
              <w:rPr>
                <w:rFonts w:ascii="宋体" w:hAnsi="宋体" w:cs="宋体"/>
                <w:kern w:val="0"/>
                <w:szCs w:val="21"/>
              </w:rPr>
            </w:pPr>
          </w:p>
        </w:tc>
        <w:tc>
          <w:tcPr>
            <w:tcW w:w="1877" w:type="dxa"/>
            <w:tcBorders>
              <w:top w:val="single" w:color="auto" w:sz="4" w:space="0"/>
              <w:left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磋商报价</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r>
              <w:rPr>
                <w:rFonts w:hint="eastAsia" w:ascii="宋体" w:hAnsi="宋体" w:cs="宋体"/>
                <w:szCs w:val="21"/>
              </w:rPr>
              <w:t>未超出采购预算价</w:t>
            </w:r>
          </w:p>
        </w:tc>
      </w:tr>
    </w:tbl>
    <w:p>
      <w:pPr>
        <w:adjustRightInd w:val="0"/>
        <w:ind w:firstLine="482"/>
        <w:rPr>
          <w:rFonts w:ascii="宋体" w:hAnsi="宋体"/>
          <w:b/>
          <w:sz w:val="24"/>
        </w:rPr>
      </w:pPr>
      <w:bookmarkStart w:id="585" w:name="_Toc152045600"/>
      <w:bookmarkStart w:id="586" w:name="_Toc152042377"/>
      <w:bookmarkStart w:id="587" w:name="_Toc318450722"/>
      <w:bookmarkStart w:id="588" w:name="_Toc144974567"/>
      <w:bookmarkStart w:id="589" w:name="_Toc281405528"/>
    </w:p>
    <w:p>
      <w:pPr>
        <w:spacing w:line="360" w:lineRule="auto"/>
        <w:ind w:firstLine="480" w:firstLineChars="200"/>
        <w:rPr>
          <w:rFonts w:ascii="宋体" w:hAnsi="宋体" w:cs="宋体"/>
          <w:sz w:val="24"/>
        </w:rPr>
      </w:pPr>
      <w:r>
        <w:rPr>
          <w:rFonts w:hint="eastAsia" w:ascii="宋体" w:hAnsi="宋体" w:cs="宋体"/>
          <w:sz w:val="24"/>
        </w:rPr>
        <w:t>本办法采用综合评分法。评议过程将严格按照竞争性磋商文件的要求和条件进行。对所有供应商的评估，都采用相同的程序和标准。</w:t>
      </w:r>
    </w:p>
    <w:p>
      <w:pPr>
        <w:numPr>
          <w:ilvl w:val="0"/>
          <w:numId w:val="1"/>
        </w:numPr>
        <w:tabs>
          <w:tab w:val="left" w:pos="420"/>
          <w:tab w:val="left" w:pos="1365"/>
        </w:tabs>
        <w:spacing w:line="360" w:lineRule="auto"/>
        <w:ind w:left="482"/>
        <w:rPr>
          <w:rFonts w:ascii="宋体" w:hAnsi="宋体" w:cs="宋体"/>
          <w:b/>
          <w:sz w:val="24"/>
        </w:rPr>
      </w:pPr>
      <w:r>
        <w:rPr>
          <w:rFonts w:hint="eastAsia" w:ascii="宋体" w:hAnsi="宋体" w:cs="宋体"/>
          <w:b/>
          <w:sz w:val="24"/>
        </w:rPr>
        <w:t>磋商报价（</w:t>
      </w:r>
      <w:r>
        <w:rPr>
          <w:rFonts w:hint="eastAsia" w:ascii="宋体" w:hAnsi="宋体" w:cs="宋体"/>
          <w:b/>
          <w:sz w:val="24"/>
          <w:lang w:val="en-US" w:eastAsia="zh-CN"/>
        </w:rPr>
        <w:t>1</w:t>
      </w:r>
      <w:r>
        <w:rPr>
          <w:rFonts w:hint="eastAsia" w:ascii="宋体" w:hAnsi="宋体" w:cs="宋体"/>
          <w:b/>
          <w:sz w:val="24"/>
        </w:rPr>
        <w:t>0分）</w:t>
      </w:r>
    </w:p>
    <w:p>
      <w:pPr>
        <w:spacing w:line="360" w:lineRule="auto"/>
        <w:ind w:firstLine="480" w:firstLineChars="200"/>
        <w:rPr>
          <w:rFonts w:ascii="宋体" w:hAnsi="宋体" w:cs="宋体"/>
          <w:sz w:val="24"/>
        </w:rPr>
      </w:pPr>
      <w:r>
        <w:rPr>
          <w:rFonts w:hint="eastAsia" w:ascii="宋体" w:hAnsi="宋体" w:cs="宋体"/>
          <w:sz w:val="24"/>
        </w:rPr>
        <w:t>以满足竞争性磋商文件要求且投标价格最低的磋商报价为评标基准价，得</w:t>
      </w:r>
      <w:r>
        <w:rPr>
          <w:rFonts w:hint="eastAsia" w:ascii="宋体" w:hAnsi="宋体" w:cs="宋体"/>
          <w:sz w:val="24"/>
          <w:lang w:val="en-US" w:eastAsia="zh-CN"/>
        </w:rPr>
        <w:t>1</w:t>
      </w:r>
      <w:r>
        <w:rPr>
          <w:rFonts w:hint="eastAsia" w:ascii="宋体" w:hAnsi="宋体" w:cs="宋体"/>
          <w:sz w:val="24"/>
        </w:rPr>
        <w:t>0分。</w:t>
      </w:r>
    </w:p>
    <w:p>
      <w:pPr>
        <w:spacing w:line="360" w:lineRule="auto"/>
        <w:ind w:firstLine="480" w:firstLineChars="200"/>
        <w:rPr>
          <w:rFonts w:ascii="宋体" w:hAnsi="宋体" w:cs="宋体"/>
          <w:sz w:val="24"/>
        </w:rPr>
      </w:pPr>
      <w:r>
        <w:rPr>
          <w:rFonts w:hint="eastAsia" w:ascii="宋体" w:hAnsi="宋体" w:cs="宋体"/>
          <w:sz w:val="24"/>
        </w:rPr>
        <w:t>其他供应商的价格分计算为：</w:t>
      </w:r>
    </w:p>
    <w:p>
      <w:pPr>
        <w:tabs>
          <w:tab w:val="left" w:pos="420"/>
          <w:tab w:val="left" w:pos="1365"/>
        </w:tabs>
        <w:spacing w:line="360" w:lineRule="auto"/>
        <w:ind w:firstLine="480" w:firstLineChars="200"/>
        <w:rPr>
          <w:rFonts w:ascii="宋体" w:hAnsi="宋体" w:cs="宋体"/>
          <w:b/>
          <w:sz w:val="24"/>
        </w:rPr>
      </w:pPr>
      <w:r>
        <w:rPr>
          <w:rFonts w:hint="eastAsia" w:ascii="宋体" w:hAnsi="宋体" w:cs="宋体"/>
          <w:sz w:val="24"/>
        </w:rPr>
        <w:t>磋商报价得分=（评标基准价/投标报价）×10</w:t>
      </w:r>
    </w:p>
    <w:p>
      <w:pPr>
        <w:adjustRightInd w:val="0"/>
        <w:snapToGrid w:val="0"/>
        <w:spacing w:line="360" w:lineRule="auto"/>
        <w:ind w:left="421"/>
        <w:rPr>
          <w:rFonts w:hint="eastAsia" w:ascii="宋体" w:hAnsi="宋体" w:cs="宋体"/>
          <w:b/>
          <w:sz w:val="24"/>
        </w:rPr>
      </w:pPr>
      <w:r>
        <w:rPr>
          <w:rFonts w:hint="eastAsia" w:ascii="宋体" w:hAnsi="宋体" w:cs="宋体"/>
          <w:b/>
          <w:sz w:val="24"/>
        </w:rPr>
        <w:t>二、项目方案及服务承诺（60分）：</w:t>
      </w:r>
    </w:p>
    <w:p>
      <w:pPr>
        <w:tabs>
          <w:tab w:val="left" w:pos="420"/>
          <w:tab w:val="left" w:pos="1365"/>
        </w:tabs>
        <w:spacing w:line="360" w:lineRule="auto"/>
        <w:ind w:firstLine="480" w:firstLineChars="200"/>
        <w:rPr>
          <w:rFonts w:hint="eastAsia" w:ascii="宋体" w:hAnsi="宋体" w:cs="宋体"/>
          <w:sz w:val="24"/>
        </w:rPr>
      </w:pPr>
      <w:r>
        <w:rPr>
          <w:rFonts w:hint="eastAsia" w:ascii="宋体" w:hAnsi="宋体" w:cs="宋体"/>
          <w:sz w:val="24"/>
        </w:rPr>
        <w:t xml:space="preserve">（1）项目方案框架20分 </w:t>
      </w:r>
    </w:p>
    <w:p>
      <w:pPr>
        <w:tabs>
          <w:tab w:val="left" w:pos="420"/>
          <w:tab w:val="left" w:pos="1365"/>
        </w:tabs>
        <w:spacing w:line="360" w:lineRule="auto"/>
        <w:ind w:firstLine="480" w:firstLineChars="200"/>
        <w:rPr>
          <w:rFonts w:hint="eastAsia" w:ascii="宋体" w:hAnsi="宋体" w:cs="宋体"/>
          <w:sz w:val="24"/>
        </w:rPr>
      </w:pPr>
      <w:r>
        <w:rPr>
          <w:rFonts w:hint="eastAsia" w:ascii="宋体" w:hAnsi="宋体" w:cs="宋体"/>
          <w:sz w:val="24"/>
        </w:rPr>
        <w:t>对郑州美育微信公众号全年运营服务提出合理方案，从政策解读、专题报道、示范学校、活动赛事四个版块来展示郑州美育工作，为郑州美育工作搭建全新的宣传平台，拉近上级与基层之间的距离，促进各学校、基层教师、学生、家长及更多关注者的沟通与交流，利用新媒体对我市美育工作进行宣传为第七届全国中小学生艺术展演活动营造良好氛围，确保第七届全国中小学生艺术展演活动圆满顺利进行。 评委根据响应人的该项内容分档打分，一档13-20分；二档6-13分；三挡0-6分。</w:t>
      </w:r>
    </w:p>
    <w:p>
      <w:pPr>
        <w:tabs>
          <w:tab w:val="left" w:pos="420"/>
          <w:tab w:val="left" w:pos="1365"/>
        </w:tabs>
        <w:spacing w:line="360" w:lineRule="auto"/>
        <w:ind w:firstLine="480" w:firstLineChars="200"/>
        <w:rPr>
          <w:rFonts w:hint="eastAsia" w:ascii="宋体" w:hAnsi="宋体" w:cs="宋体"/>
          <w:color w:val="auto"/>
          <w:sz w:val="24"/>
        </w:rPr>
      </w:pPr>
      <w:r>
        <w:rPr>
          <w:rFonts w:hint="eastAsia" w:ascii="宋体" w:hAnsi="宋体" w:cs="宋体"/>
          <w:color w:val="auto"/>
          <w:sz w:val="24"/>
        </w:rPr>
        <w:t>（2）项目工作计划10分</w:t>
      </w:r>
    </w:p>
    <w:p>
      <w:pPr>
        <w:tabs>
          <w:tab w:val="left" w:pos="420"/>
          <w:tab w:val="left" w:pos="1365"/>
        </w:tabs>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  从政策解读、专题报道、示范学校、活动赛事四个版块制定出详细的可实施的工作计划，工作计划最低以季度为单位。评委根据响应人的该项内容分档打分，一档6-10分；二档3-6分；三挡0-3分。</w:t>
      </w:r>
    </w:p>
    <w:p>
      <w:pPr>
        <w:tabs>
          <w:tab w:val="left" w:pos="420"/>
          <w:tab w:val="left" w:pos="1365"/>
        </w:tabs>
        <w:spacing w:line="360" w:lineRule="auto"/>
        <w:ind w:firstLine="480" w:firstLineChars="200"/>
        <w:rPr>
          <w:rFonts w:hint="eastAsia" w:ascii="宋体" w:hAnsi="宋体" w:cs="宋体"/>
          <w:color w:val="auto"/>
          <w:sz w:val="24"/>
        </w:rPr>
      </w:pPr>
      <w:r>
        <w:rPr>
          <w:rFonts w:hint="eastAsia" w:ascii="宋体" w:hAnsi="宋体" w:cs="宋体"/>
          <w:color w:val="auto"/>
          <w:sz w:val="24"/>
        </w:rPr>
        <w:t>（3）项目量化标准10分  全年推送不低于</w:t>
      </w:r>
      <w:r>
        <w:rPr>
          <w:rFonts w:hint="eastAsia" w:ascii="宋体" w:hAnsi="宋体" w:cs="宋体"/>
          <w:color w:val="auto"/>
          <w:sz w:val="24"/>
          <w:lang w:val="en-US" w:eastAsia="zh-CN"/>
        </w:rPr>
        <w:t>60</w:t>
      </w:r>
      <w:r>
        <w:rPr>
          <w:rFonts w:hint="eastAsia" w:ascii="宋体" w:hAnsi="宋体" w:cs="宋体"/>
          <w:color w:val="auto"/>
          <w:sz w:val="24"/>
        </w:rPr>
        <w:t xml:space="preserve">次 </w:t>
      </w:r>
    </w:p>
    <w:p>
      <w:pPr>
        <w:tabs>
          <w:tab w:val="left" w:pos="420"/>
          <w:tab w:val="left" w:pos="1365"/>
        </w:tabs>
        <w:spacing w:line="360" w:lineRule="auto"/>
        <w:ind w:firstLine="480" w:firstLineChars="200"/>
        <w:rPr>
          <w:rFonts w:hint="eastAsia" w:ascii="宋体" w:hAnsi="宋体" w:cs="宋体"/>
          <w:color w:val="auto"/>
          <w:sz w:val="24"/>
        </w:rPr>
      </w:pPr>
      <w:r>
        <w:rPr>
          <w:rFonts w:hint="eastAsia" w:ascii="宋体" w:hAnsi="宋体" w:cs="宋体"/>
          <w:color w:val="auto"/>
          <w:sz w:val="24"/>
        </w:rPr>
        <w:t>评委根据响应人的该项内容分档打分，一档6-10分；二档3-6分；三挡0-3分。</w:t>
      </w:r>
    </w:p>
    <w:p>
      <w:pPr>
        <w:tabs>
          <w:tab w:val="left" w:pos="420"/>
          <w:tab w:val="left" w:pos="1365"/>
        </w:tabs>
        <w:spacing w:line="360" w:lineRule="auto"/>
        <w:ind w:firstLine="480" w:firstLineChars="200"/>
        <w:rPr>
          <w:rFonts w:hint="eastAsia" w:ascii="宋体" w:hAnsi="宋体" w:cs="宋体"/>
          <w:color w:val="auto"/>
          <w:sz w:val="24"/>
        </w:rPr>
      </w:pPr>
      <w:r>
        <w:rPr>
          <w:rFonts w:hint="eastAsia" w:ascii="宋体" w:hAnsi="宋体" w:cs="宋体"/>
          <w:color w:val="auto"/>
          <w:sz w:val="24"/>
        </w:rPr>
        <w:t>（4）服务团队和硬件</w:t>
      </w:r>
      <w:r>
        <w:rPr>
          <w:rFonts w:hint="eastAsia" w:ascii="宋体" w:hAnsi="宋体" w:eastAsia="宋体"/>
          <w:color w:val="auto"/>
          <w:lang w:eastAsia="zh-CN"/>
        </w:rPr>
        <w:t>支持</w:t>
      </w:r>
      <w:r>
        <w:rPr>
          <w:rFonts w:hint="eastAsia" w:ascii="宋体" w:hAnsi="宋体" w:cs="宋体"/>
          <w:color w:val="auto"/>
          <w:sz w:val="24"/>
        </w:rPr>
        <w:t>10分 服务于郑州美育工作，人员团队建设和硬件支持。 评委根据响应人的该项内容分档打分，一档6-10分；二档3-6分；三挡0-3分。</w:t>
      </w:r>
    </w:p>
    <w:p>
      <w:pPr>
        <w:tabs>
          <w:tab w:val="left" w:pos="420"/>
          <w:tab w:val="left" w:pos="1365"/>
        </w:tabs>
        <w:spacing w:line="360" w:lineRule="auto"/>
        <w:ind w:firstLine="480" w:firstLineChars="200"/>
        <w:rPr>
          <w:rFonts w:ascii="宋体" w:hAnsi="宋体" w:cs="宋体"/>
          <w:b/>
          <w:color w:val="auto"/>
          <w:sz w:val="24"/>
        </w:rPr>
      </w:pPr>
      <w:r>
        <w:rPr>
          <w:rFonts w:hint="eastAsia" w:ascii="宋体" w:hAnsi="宋体" w:cs="宋体"/>
          <w:color w:val="auto"/>
          <w:sz w:val="24"/>
        </w:rPr>
        <w:t>（5）增值服务10分  评委根据响应人的该项内容分档打分，一档6-10分；二档3-6分；三挡0-3分。</w:t>
      </w:r>
    </w:p>
    <w:p>
      <w:pPr>
        <w:adjustRightInd w:val="0"/>
        <w:snapToGrid w:val="0"/>
        <w:spacing w:line="360" w:lineRule="auto"/>
        <w:ind w:left="421"/>
        <w:rPr>
          <w:rFonts w:hint="eastAsia" w:ascii="宋体" w:hAnsi="宋体" w:cs="宋体"/>
          <w:b/>
          <w:color w:val="auto"/>
          <w:sz w:val="24"/>
        </w:rPr>
      </w:pPr>
      <w:r>
        <w:rPr>
          <w:rFonts w:hint="eastAsia" w:ascii="宋体" w:hAnsi="宋体" w:cs="宋体"/>
          <w:b/>
          <w:color w:val="auto"/>
          <w:sz w:val="24"/>
          <w:lang w:eastAsia="zh-CN"/>
        </w:rPr>
        <w:t>三</w:t>
      </w:r>
      <w:r>
        <w:rPr>
          <w:rFonts w:hint="eastAsia" w:ascii="宋体" w:hAnsi="宋体" w:cs="宋体"/>
          <w:b/>
          <w:color w:val="auto"/>
          <w:sz w:val="24"/>
        </w:rPr>
        <w:t>、企业业绩及获得荣誉（30分）：</w:t>
      </w:r>
    </w:p>
    <w:p>
      <w:pPr>
        <w:tabs>
          <w:tab w:val="left" w:pos="420"/>
          <w:tab w:val="left" w:pos="1365"/>
        </w:tabs>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企业过往</w:t>
      </w:r>
      <w:r>
        <w:rPr>
          <w:rFonts w:hint="eastAsia" w:ascii="宋体" w:hAnsi="宋体" w:cs="宋体"/>
          <w:color w:val="auto"/>
          <w:sz w:val="24"/>
        </w:rPr>
        <w:t>业绩15分  2016年1月1日以来，一个业绩得3分，最多得15分。</w:t>
      </w:r>
    </w:p>
    <w:p>
      <w:pPr>
        <w:tabs>
          <w:tab w:val="left" w:pos="420"/>
          <w:tab w:val="left" w:pos="1365"/>
        </w:tabs>
        <w:spacing w:line="360" w:lineRule="auto"/>
        <w:ind w:firstLine="480" w:firstLineChars="200"/>
        <w:rPr>
          <w:rFonts w:hint="eastAsia" w:ascii="宋体" w:hAnsi="宋体" w:cs="宋体"/>
          <w:color w:val="auto"/>
          <w:sz w:val="24"/>
        </w:rPr>
      </w:pPr>
      <w:r>
        <w:rPr>
          <w:rFonts w:hint="eastAsia" w:ascii="宋体" w:hAnsi="宋体" w:cs="宋体"/>
          <w:color w:val="auto"/>
          <w:sz w:val="24"/>
        </w:rPr>
        <w:t>（2） 荣誉15分  2016年1月1日以来，一个</w:t>
      </w:r>
      <w:r>
        <w:rPr>
          <w:rFonts w:hint="eastAsia" w:ascii="宋体" w:hAnsi="宋体" w:cs="宋体"/>
          <w:color w:val="auto"/>
          <w:sz w:val="24"/>
          <w:lang w:eastAsia="zh-CN"/>
        </w:rPr>
        <w:t>荣誉</w:t>
      </w:r>
      <w:r>
        <w:rPr>
          <w:rFonts w:hint="eastAsia" w:ascii="宋体" w:hAnsi="宋体" w:cs="宋体"/>
          <w:color w:val="auto"/>
          <w:sz w:val="24"/>
        </w:rPr>
        <w:t>得3分，最多得15分。</w:t>
      </w:r>
    </w:p>
    <w:p>
      <w:pPr>
        <w:adjustRightInd w:val="0"/>
        <w:snapToGrid w:val="0"/>
        <w:spacing w:line="360" w:lineRule="auto"/>
        <w:ind w:left="479" w:leftChars="228" w:firstLine="0" w:firstLineChars="0"/>
        <w:rPr>
          <w:rFonts w:hint="eastAsia" w:ascii="宋体" w:hAnsi="宋体" w:eastAsia="宋体" w:cs="宋体"/>
          <w:color w:val="auto"/>
          <w:kern w:val="0"/>
          <w:sz w:val="24"/>
          <w:lang w:eastAsia="zh-CN"/>
        </w:rPr>
      </w:pPr>
      <w:r>
        <w:rPr>
          <w:rFonts w:hint="eastAsia" w:ascii="宋体" w:hAnsi="宋体" w:cs="宋体"/>
          <w:b/>
          <w:color w:val="auto"/>
          <w:sz w:val="24"/>
          <w:lang w:val="en-US" w:eastAsia="zh-CN"/>
        </w:rPr>
        <w:t xml:space="preserve"> </w:t>
      </w:r>
    </w:p>
    <w:p>
      <w:pPr>
        <w:adjustRightInd w:val="0"/>
        <w:rPr>
          <w:rFonts w:ascii="宋体" w:hAnsi="宋体" w:cs="宋体"/>
          <w:color w:val="auto"/>
          <w:sz w:val="24"/>
        </w:rPr>
      </w:pPr>
    </w:p>
    <w:p>
      <w:pPr>
        <w:adjustRightInd w:val="0"/>
        <w:rPr>
          <w:rFonts w:ascii="宋体" w:hAnsi="宋体" w:cs="宋体"/>
          <w:color w:val="auto"/>
          <w:sz w:val="24"/>
        </w:rPr>
      </w:pPr>
    </w:p>
    <w:p>
      <w:pPr>
        <w:adjustRightInd w:val="0"/>
        <w:rPr>
          <w:rFonts w:ascii="宋体" w:hAnsi="宋体" w:cs="宋体"/>
          <w:color w:val="auto"/>
          <w:sz w:val="24"/>
        </w:rPr>
      </w:pPr>
    </w:p>
    <w:p>
      <w:pPr>
        <w:adjustRightInd w:val="0"/>
        <w:rPr>
          <w:rFonts w:ascii="宋体" w:hAnsi="宋体" w:cs="宋体"/>
          <w:color w:val="auto"/>
          <w:sz w:val="24"/>
        </w:rPr>
      </w:pPr>
    </w:p>
    <w:p>
      <w:pPr>
        <w:adjustRightInd w:val="0"/>
        <w:rPr>
          <w:rFonts w:ascii="宋体" w:hAnsi="宋体" w:cs="宋体"/>
          <w:color w:val="auto"/>
          <w:sz w:val="24"/>
        </w:rPr>
      </w:pPr>
    </w:p>
    <w:p>
      <w:pPr>
        <w:adjustRightInd w:val="0"/>
        <w:rPr>
          <w:rFonts w:ascii="宋体" w:hAnsi="宋体" w:cs="宋体"/>
          <w:color w:val="auto"/>
          <w:sz w:val="24"/>
        </w:rPr>
      </w:pPr>
    </w:p>
    <w:p>
      <w:pPr>
        <w:adjustRightInd w:val="0"/>
        <w:rPr>
          <w:rFonts w:ascii="宋体" w:hAnsi="宋体" w:cs="宋体"/>
          <w:color w:val="auto"/>
          <w:sz w:val="24"/>
        </w:rPr>
      </w:pPr>
    </w:p>
    <w:p>
      <w:pPr>
        <w:pStyle w:val="2"/>
        <w:rPr>
          <w:rFonts w:ascii="宋体" w:hAnsi="宋体" w:cs="宋体"/>
          <w:color w:val="auto"/>
          <w:sz w:val="24"/>
        </w:rPr>
      </w:pPr>
    </w:p>
    <w:p>
      <w:pPr>
        <w:pStyle w:val="2"/>
        <w:rPr>
          <w:rFonts w:ascii="宋体" w:hAnsi="宋体" w:cs="宋体"/>
          <w:color w:val="auto"/>
          <w:sz w:val="24"/>
        </w:rPr>
      </w:pPr>
    </w:p>
    <w:p>
      <w:pPr>
        <w:pStyle w:val="2"/>
        <w:rPr>
          <w:rFonts w:ascii="宋体" w:hAnsi="宋体" w:cs="宋体"/>
          <w:color w:val="auto"/>
          <w:sz w:val="24"/>
        </w:rPr>
      </w:pPr>
    </w:p>
    <w:p>
      <w:pPr>
        <w:pStyle w:val="2"/>
        <w:rPr>
          <w:rFonts w:ascii="宋体" w:hAnsi="宋体" w:cs="宋体"/>
          <w:color w:val="auto"/>
          <w:sz w:val="24"/>
        </w:rPr>
      </w:pPr>
    </w:p>
    <w:p>
      <w:pPr>
        <w:pStyle w:val="2"/>
        <w:rPr>
          <w:rFonts w:ascii="宋体" w:hAnsi="宋体" w:cs="宋体"/>
          <w:color w:val="auto"/>
          <w:sz w:val="24"/>
        </w:rPr>
      </w:pPr>
    </w:p>
    <w:p>
      <w:pPr>
        <w:pStyle w:val="2"/>
        <w:rPr>
          <w:rFonts w:ascii="宋体" w:hAnsi="宋体" w:cs="宋体"/>
          <w:color w:val="auto"/>
          <w:sz w:val="24"/>
        </w:rPr>
      </w:pPr>
    </w:p>
    <w:p>
      <w:pPr>
        <w:pStyle w:val="2"/>
        <w:rPr>
          <w:rFonts w:ascii="宋体" w:hAnsi="宋体" w:cs="宋体"/>
          <w:color w:val="auto"/>
          <w:sz w:val="24"/>
        </w:rPr>
      </w:pPr>
    </w:p>
    <w:p>
      <w:pPr>
        <w:pStyle w:val="2"/>
        <w:rPr>
          <w:rFonts w:ascii="宋体" w:hAnsi="宋体" w:cs="宋体"/>
          <w:color w:val="auto"/>
          <w:sz w:val="24"/>
        </w:rPr>
      </w:pPr>
    </w:p>
    <w:p>
      <w:pPr>
        <w:spacing w:line="400" w:lineRule="exact"/>
        <w:rPr>
          <w:rFonts w:ascii="宋体" w:hAnsi="宋体" w:cs="宋体"/>
          <w:color w:val="auto"/>
          <w:sz w:val="24"/>
        </w:rPr>
      </w:pPr>
      <w:r>
        <w:rPr>
          <w:rFonts w:hint="eastAsia" w:ascii="宋体" w:hAnsi="宋体" w:cs="宋体"/>
          <w:color w:val="auto"/>
          <w:sz w:val="24"/>
        </w:rPr>
        <w:t>1. 评标方法</w:t>
      </w:r>
      <w:bookmarkEnd w:id="585"/>
      <w:bookmarkEnd w:id="586"/>
      <w:bookmarkEnd w:id="587"/>
      <w:bookmarkEnd w:id="588"/>
      <w:bookmarkEnd w:id="589"/>
    </w:p>
    <w:p>
      <w:pPr>
        <w:spacing w:line="400" w:lineRule="exact"/>
        <w:ind w:firstLine="480" w:firstLineChars="200"/>
        <w:rPr>
          <w:rFonts w:ascii="宋体" w:hAnsi="宋体" w:cs="宋体"/>
          <w:color w:val="auto"/>
          <w:sz w:val="24"/>
        </w:rPr>
      </w:pPr>
      <w:r>
        <w:rPr>
          <w:rFonts w:hint="eastAsia" w:ascii="宋体" w:hAnsi="宋体" w:cs="宋体"/>
          <w:color w:val="auto"/>
          <w:sz w:val="24"/>
          <w:lang w:bidi="en-US"/>
        </w:rPr>
        <w:t>本次评标采用综合评分法。磋商小组对满足磋商文件实质性要求的响应文件</w:t>
      </w:r>
      <w:r>
        <w:rPr>
          <w:rFonts w:hint="eastAsia" w:ascii="宋体" w:hAnsi="宋体" w:cs="宋体"/>
          <w:color w:val="auto"/>
          <w:sz w:val="24"/>
        </w:rPr>
        <w:t>，按照本章规定的评分标准进行打分，并按得分由高到低顺序推荐成交候选人，</w:t>
      </w:r>
      <w:r>
        <w:rPr>
          <w:rFonts w:hint="eastAsia" w:ascii="宋体" w:hAnsi="宋体" w:cs="宋体"/>
          <w:color w:val="auto"/>
          <w:kern w:val="0"/>
          <w:sz w:val="24"/>
        </w:rPr>
        <w:t>综合评分相等时，以报价得分高的优先；报价得分也相等的，由采购人自行确定。</w:t>
      </w:r>
    </w:p>
    <w:p>
      <w:pPr>
        <w:spacing w:line="360" w:lineRule="auto"/>
        <w:rPr>
          <w:rFonts w:ascii="宋体" w:hAnsi="宋体" w:cs="宋体"/>
          <w:color w:val="auto"/>
          <w:sz w:val="24"/>
        </w:rPr>
      </w:pPr>
      <w:bookmarkStart w:id="590" w:name="_Toc318450723"/>
      <w:bookmarkStart w:id="591" w:name="_Toc152045601"/>
      <w:bookmarkStart w:id="592" w:name="_Toc485131201"/>
      <w:bookmarkStart w:id="593" w:name="_Toc281405529"/>
      <w:bookmarkStart w:id="594" w:name="_Toc144974568"/>
      <w:bookmarkStart w:id="595" w:name="_Toc455867817"/>
      <w:bookmarkStart w:id="596" w:name="_Toc24936"/>
      <w:bookmarkStart w:id="597" w:name="_Toc466298140"/>
      <w:bookmarkStart w:id="598" w:name="_Toc455080157"/>
      <w:bookmarkStart w:id="599" w:name="_Toc152042378"/>
      <w:r>
        <w:rPr>
          <w:rFonts w:hint="eastAsia" w:ascii="宋体" w:hAnsi="宋体" w:cs="宋体"/>
          <w:color w:val="auto"/>
          <w:sz w:val="24"/>
        </w:rPr>
        <w:t>2. 评审标准</w:t>
      </w:r>
      <w:bookmarkEnd w:id="590"/>
      <w:bookmarkEnd w:id="591"/>
      <w:bookmarkEnd w:id="592"/>
      <w:bookmarkEnd w:id="593"/>
      <w:bookmarkEnd w:id="594"/>
      <w:bookmarkEnd w:id="595"/>
      <w:bookmarkEnd w:id="596"/>
      <w:bookmarkEnd w:id="597"/>
      <w:bookmarkEnd w:id="598"/>
      <w:bookmarkEnd w:id="599"/>
    </w:p>
    <w:p>
      <w:pPr>
        <w:spacing w:line="360" w:lineRule="auto"/>
        <w:rPr>
          <w:rFonts w:ascii="宋体" w:hAnsi="宋体" w:cs="宋体"/>
          <w:color w:val="auto"/>
          <w:sz w:val="24"/>
        </w:rPr>
      </w:pPr>
      <w:bookmarkStart w:id="600" w:name="_Toc19934"/>
      <w:bookmarkStart w:id="601" w:name="_Toc144974569"/>
      <w:bookmarkStart w:id="602" w:name="_Toc30809"/>
      <w:bookmarkStart w:id="603" w:name="_Toc152042379"/>
      <w:bookmarkStart w:id="604" w:name="_Toc281405530"/>
      <w:bookmarkStart w:id="605" w:name="_Toc152045602"/>
      <w:bookmarkStart w:id="606" w:name="_Toc31037"/>
      <w:bookmarkStart w:id="607" w:name="_Toc15813"/>
      <w:bookmarkStart w:id="608" w:name="_Toc455080158"/>
      <w:bookmarkStart w:id="609" w:name="_Toc485131202"/>
      <w:bookmarkStart w:id="610" w:name="_Toc318450724"/>
      <w:bookmarkStart w:id="611" w:name="_Toc21120"/>
      <w:bookmarkStart w:id="612" w:name="_Toc466298141"/>
      <w:bookmarkStart w:id="613" w:name="_Toc25637"/>
      <w:bookmarkStart w:id="614" w:name="_Toc455867818"/>
      <w:r>
        <w:rPr>
          <w:rFonts w:hint="eastAsia" w:ascii="宋体" w:hAnsi="宋体" w:cs="宋体"/>
          <w:color w:val="auto"/>
          <w:sz w:val="24"/>
        </w:rPr>
        <w:t>2.1 初步评审标准</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pPr>
        <w:spacing w:line="400" w:lineRule="exact"/>
        <w:ind w:firstLine="480" w:firstLineChars="200"/>
        <w:rPr>
          <w:rFonts w:ascii="宋体" w:hAnsi="宋体" w:cs="宋体"/>
          <w:color w:val="auto"/>
          <w:sz w:val="24"/>
        </w:rPr>
      </w:pPr>
      <w:r>
        <w:rPr>
          <w:rFonts w:hint="eastAsia" w:ascii="宋体" w:hAnsi="宋体" w:cs="宋体"/>
          <w:color w:val="auto"/>
          <w:sz w:val="24"/>
        </w:rPr>
        <w:t>2.1.1 形式检查评审标准：见评标办法前附表。</w:t>
      </w:r>
    </w:p>
    <w:p>
      <w:pPr>
        <w:spacing w:line="400" w:lineRule="exact"/>
        <w:ind w:firstLine="480" w:firstLineChars="200"/>
        <w:rPr>
          <w:rFonts w:ascii="宋体" w:hAnsi="宋体" w:cs="宋体"/>
          <w:color w:val="auto"/>
          <w:sz w:val="24"/>
        </w:rPr>
      </w:pPr>
      <w:r>
        <w:rPr>
          <w:rFonts w:hint="eastAsia" w:ascii="宋体" w:hAnsi="宋体" w:cs="宋体"/>
          <w:color w:val="auto"/>
          <w:sz w:val="24"/>
        </w:rPr>
        <w:t>2.1.2 资格性检查评审标准：见评标办法前附表。</w:t>
      </w:r>
    </w:p>
    <w:p>
      <w:pPr>
        <w:spacing w:line="400" w:lineRule="exact"/>
        <w:ind w:firstLine="480" w:firstLineChars="200"/>
        <w:rPr>
          <w:rFonts w:ascii="宋体" w:hAnsi="宋体" w:cs="宋体"/>
          <w:color w:val="auto"/>
          <w:sz w:val="24"/>
        </w:rPr>
      </w:pPr>
      <w:r>
        <w:rPr>
          <w:rFonts w:hint="eastAsia" w:ascii="宋体" w:hAnsi="宋体" w:cs="宋体"/>
          <w:color w:val="auto"/>
          <w:sz w:val="24"/>
        </w:rPr>
        <w:t>2.1.3 响应性检查评审标准：见评标办法前附表。</w:t>
      </w:r>
    </w:p>
    <w:p>
      <w:pPr>
        <w:spacing w:line="360" w:lineRule="auto"/>
        <w:rPr>
          <w:rFonts w:ascii="宋体" w:hAnsi="宋体" w:cs="宋体"/>
          <w:color w:val="auto"/>
          <w:sz w:val="24"/>
        </w:rPr>
      </w:pPr>
      <w:bookmarkStart w:id="615" w:name="_Toc12013"/>
      <w:bookmarkStart w:id="616" w:name="_Toc25492"/>
      <w:bookmarkStart w:id="617" w:name="_Toc455867819"/>
      <w:bookmarkStart w:id="618" w:name="_Toc485131203"/>
      <w:bookmarkStart w:id="619" w:name="_Toc455080159"/>
      <w:bookmarkStart w:id="620" w:name="_Toc144974570"/>
      <w:bookmarkStart w:id="621" w:name="_Toc30189"/>
      <w:bookmarkStart w:id="622" w:name="_Toc11061"/>
      <w:bookmarkStart w:id="623" w:name="_Toc22128"/>
      <w:bookmarkStart w:id="624" w:name="_Toc318450725"/>
      <w:bookmarkStart w:id="625" w:name="_Toc152045603"/>
      <w:bookmarkStart w:id="626" w:name="_Toc152042380"/>
      <w:bookmarkStart w:id="627" w:name="_Toc22439"/>
      <w:bookmarkStart w:id="628" w:name="_Toc281405531"/>
      <w:bookmarkStart w:id="629" w:name="_Toc466298142"/>
      <w:r>
        <w:rPr>
          <w:rFonts w:hint="eastAsia" w:ascii="宋体" w:hAnsi="宋体" w:cs="宋体"/>
          <w:color w:val="auto"/>
          <w:sz w:val="24"/>
        </w:rPr>
        <w:t>2.2 分值构成与评分标准</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pPr>
        <w:spacing w:line="400" w:lineRule="exact"/>
        <w:ind w:firstLine="424" w:firstLineChars="177"/>
        <w:rPr>
          <w:rFonts w:ascii="宋体" w:hAnsi="宋体" w:cs="宋体"/>
          <w:color w:val="auto"/>
          <w:sz w:val="24"/>
        </w:rPr>
      </w:pPr>
      <w:r>
        <w:rPr>
          <w:rFonts w:hint="eastAsia" w:ascii="宋体" w:hAnsi="宋体" w:cs="宋体"/>
          <w:color w:val="auto"/>
          <w:sz w:val="24"/>
        </w:rPr>
        <w:t>（1）报价：见评标办法前附表</w:t>
      </w:r>
    </w:p>
    <w:p>
      <w:pPr>
        <w:spacing w:line="400" w:lineRule="exact"/>
        <w:ind w:firstLine="424" w:firstLineChars="177"/>
        <w:rPr>
          <w:rFonts w:ascii="宋体" w:hAnsi="宋体" w:cs="宋体"/>
          <w:color w:val="auto"/>
          <w:sz w:val="24"/>
        </w:rPr>
      </w:pPr>
      <w:r>
        <w:rPr>
          <w:rFonts w:hint="eastAsia" w:ascii="宋体" w:hAnsi="宋体" w:cs="宋体"/>
          <w:color w:val="auto"/>
          <w:sz w:val="24"/>
        </w:rPr>
        <w:t>（2）项目方案及服务承诺：见评标办法前附表；</w:t>
      </w:r>
    </w:p>
    <w:p>
      <w:pPr>
        <w:spacing w:line="400" w:lineRule="exact"/>
        <w:ind w:firstLine="424" w:firstLineChars="177"/>
        <w:rPr>
          <w:rFonts w:ascii="宋体" w:hAnsi="宋体" w:cs="宋体"/>
          <w:color w:val="auto"/>
          <w:sz w:val="24"/>
        </w:rPr>
      </w:pPr>
      <w:r>
        <w:rPr>
          <w:rFonts w:hint="eastAsia" w:ascii="宋体" w:hAnsi="宋体" w:cs="宋体"/>
          <w:color w:val="auto"/>
          <w:sz w:val="24"/>
        </w:rPr>
        <w:t>（3）企业业绩及获得荣誉：见评标办法前附表；</w:t>
      </w:r>
    </w:p>
    <w:p>
      <w:pPr>
        <w:spacing w:line="360" w:lineRule="auto"/>
        <w:rPr>
          <w:rFonts w:ascii="宋体" w:hAnsi="宋体" w:cs="宋体"/>
          <w:color w:val="auto"/>
          <w:sz w:val="24"/>
        </w:rPr>
      </w:pPr>
      <w:bookmarkStart w:id="630" w:name="_Toc17308"/>
      <w:bookmarkStart w:id="631" w:name="_Toc466298143"/>
      <w:bookmarkStart w:id="632" w:name="_Toc318450726"/>
      <w:bookmarkStart w:id="633" w:name="_Toc281405532"/>
      <w:bookmarkStart w:id="634" w:name="_Toc455867820"/>
      <w:bookmarkStart w:id="635" w:name="_Toc485131204"/>
      <w:bookmarkStart w:id="636" w:name="_Toc455080160"/>
      <w:r>
        <w:rPr>
          <w:rFonts w:hint="eastAsia" w:ascii="宋体" w:hAnsi="宋体" w:cs="宋体"/>
          <w:color w:val="auto"/>
          <w:sz w:val="24"/>
        </w:rPr>
        <w:t>3. 评审程序</w:t>
      </w:r>
      <w:bookmarkEnd w:id="630"/>
      <w:bookmarkEnd w:id="631"/>
      <w:bookmarkEnd w:id="632"/>
      <w:bookmarkEnd w:id="633"/>
      <w:bookmarkEnd w:id="634"/>
      <w:bookmarkEnd w:id="635"/>
      <w:bookmarkEnd w:id="636"/>
    </w:p>
    <w:p>
      <w:pPr>
        <w:spacing w:line="360" w:lineRule="auto"/>
        <w:rPr>
          <w:rFonts w:ascii="宋体" w:hAnsi="宋体" w:cs="宋体"/>
          <w:color w:val="auto"/>
          <w:sz w:val="24"/>
        </w:rPr>
      </w:pPr>
      <w:bookmarkStart w:id="637" w:name="_Toc455867821"/>
      <w:bookmarkStart w:id="638" w:name="_Toc466298144"/>
      <w:bookmarkStart w:id="639" w:name="_Toc18886"/>
      <w:bookmarkStart w:id="640" w:name="_Toc5427"/>
      <w:bookmarkStart w:id="641" w:name="_Toc29614"/>
      <w:bookmarkStart w:id="642" w:name="_Toc7272"/>
      <w:bookmarkStart w:id="643" w:name="_Toc30986"/>
      <w:bookmarkStart w:id="644" w:name="_Toc13315"/>
      <w:bookmarkStart w:id="645" w:name="_Toc455080161"/>
      <w:bookmarkStart w:id="646" w:name="_Toc485131205"/>
      <w:bookmarkStart w:id="647" w:name="_Toc318450727"/>
      <w:bookmarkStart w:id="648" w:name="_Toc281405533"/>
      <w:bookmarkStart w:id="649" w:name="_Toc14633"/>
      <w:r>
        <w:rPr>
          <w:rFonts w:hint="eastAsia" w:ascii="宋体" w:hAnsi="宋体" w:cs="宋体"/>
          <w:color w:val="auto"/>
          <w:sz w:val="24"/>
        </w:rPr>
        <w:t>3.1 初步评审</w:t>
      </w:r>
      <w:bookmarkEnd w:id="637"/>
      <w:bookmarkEnd w:id="638"/>
      <w:bookmarkEnd w:id="639"/>
      <w:bookmarkEnd w:id="640"/>
      <w:bookmarkEnd w:id="641"/>
      <w:bookmarkEnd w:id="642"/>
      <w:bookmarkEnd w:id="643"/>
      <w:bookmarkEnd w:id="644"/>
      <w:bookmarkEnd w:id="645"/>
      <w:bookmarkEnd w:id="646"/>
      <w:bookmarkEnd w:id="647"/>
      <w:bookmarkEnd w:id="648"/>
      <w:bookmarkEnd w:id="649"/>
    </w:p>
    <w:p>
      <w:pPr>
        <w:spacing w:line="400" w:lineRule="exact"/>
        <w:ind w:firstLine="480" w:firstLineChars="200"/>
        <w:rPr>
          <w:rFonts w:ascii="宋体" w:hAnsi="宋体" w:cs="宋体"/>
          <w:color w:val="auto"/>
          <w:sz w:val="24"/>
        </w:rPr>
      </w:pPr>
      <w:r>
        <w:rPr>
          <w:rFonts w:hint="eastAsia" w:ascii="宋体" w:hAnsi="宋体" w:cs="宋体"/>
          <w:color w:val="auto"/>
          <w:sz w:val="24"/>
        </w:rPr>
        <w:t>3.1.1 磋商小组依据本章第2.1款规定的标准对响应文件进行初步评审。有一项不符合评审标准的，作废标处理。</w:t>
      </w:r>
    </w:p>
    <w:p>
      <w:pPr>
        <w:spacing w:line="400" w:lineRule="exact"/>
        <w:ind w:firstLine="480" w:firstLineChars="200"/>
        <w:rPr>
          <w:rFonts w:ascii="宋体" w:hAnsi="宋体" w:cs="宋体"/>
          <w:color w:val="auto"/>
          <w:sz w:val="24"/>
        </w:rPr>
      </w:pPr>
      <w:r>
        <w:rPr>
          <w:rFonts w:hint="eastAsia" w:ascii="宋体" w:hAnsi="宋体" w:cs="宋体"/>
          <w:color w:val="auto"/>
          <w:sz w:val="24"/>
        </w:rPr>
        <w:t>3.1.2 供应商有以下情形之一的，其投标作废标处理：</w:t>
      </w:r>
    </w:p>
    <w:p>
      <w:pPr>
        <w:spacing w:line="400" w:lineRule="exact"/>
        <w:ind w:firstLine="424" w:firstLineChars="177"/>
        <w:rPr>
          <w:rFonts w:ascii="宋体" w:hAnsi="宋体" w:cs="宋体"/>
          <w:color w:val="auto"/>
          <w:sz w:val="24"/>
        </w:rPr>
      </w:pPr>
      <w:r>
        <w:rPr>
          <w:rFonts w:hint="eastAsia" w:ascii="宋体" w:hAnsi="宋体" w:cs="宋体"/>
          <w:color w:val="auto"/>
          <w:sz w:val="24"/>
        </w:rPr>
        <w:t>（1）供应商未提交磋商保证金或金额不足的；</w:t>
      </w:r>
    </w:p>
    <w:p>
      <w:pPr>
        <w:spacing w:line="400" w:lineRule="exact"/>
        <w:ind w:firstLine="424" w:firstLineChars="177"/>
        <w:rPr>
          <w:rFonts w:ascii="宋体" w:hAnsi="宋体" w:cs="宋体"/>
          <w:color w:val="auto"/>
          <w:sz w:val="24"/>
        </w:rPr>
      </w:pPr>
      <w:r>
        <w:rPr>
          <w:rFonts w:hint="eastAsia" w:ascii="宋体" w:hAnsi="宋体" w:cs="宋体"/>
          <w:color w:val="auto"/>
          <w:sz w:val="24"/>
        </w:rPr>
        <w:t>（2）不按磋商小组要求澄清、说明或补正的；</w:t>
      </w:r>
    </w:p>
    <w:p>
      <w:pPr>
        <w:spacing w:line="360" w:lineRule="auto"/>
        <w:rPr>
          <w:rFonts w:ascii="宋体" w:hAnsi="宋体" w:cs="宋体"/>
          <w:color w:val="auto"/>
          <w:sz w:val="24"/>
        </w:rPr>
      </w:pPr>
      <w:bookmarkStart w:id="650" w:name="_Toc2825"/>
      <w:bookmarkStart w:id="651" w:name="_Toc21570"/>
      <w:bookmarkStart w:id="652" w:name="_Toc12406"/>
      <w:bookmarkStart w:id="653" w:name="_Toc281405534"/>
      <w:bookmarkStart w:id="654" w:name="_Toc455867822"/>
      <w:bookmarkStart w:id="655" w:name="_Toc7121"/>
      <w:bookmarkStart w:id="656" w:name="_Toc455080162"/>
      <w:bookmarkStart w:id="657" w:name="_Toc21032"/>
      <w:bookmarkStart w:id="658" w:name="_Toc485131206"/>
      <w:bookmarkStart w:id="659" w:name="_Toc26049"/>
      <w:bookmarkStart w:id="660" w:name="_Toc466298145"/>
      <w:bookmarkStart w:id="661" w:name="_Toc318450728"/>
      <w:bookmarkStart w:id="662" w:name="_Toc10692"/>
      <w:r>
        <w:rPr>
          <w:rFonts w:hint="eastAsia" w:ascii="宋体" w:hAnsi="宋体" w:cs="宋体"/>
          <w:color w:val="auto"/>
          <w:sz w:val="24"/>
        </w:rPr>
        <w:t>3.2 详细评审</w:t>
      </w:r>
      <w:bookmarkEnd w:id="650"/>
      <w:bookmarkEnd w:id="651"/>
      <w:bookmarkEnd w:id="652"/>
      <w:bookmarkEnd w:id="653"/>
      <w:bookmarkEnd w:id="654"/>
      <w:bookmarkEnd w:id="655"/>
      <w:bookmarkEnd w:id="656"/>
      <w:bookmarkEnd w:id="657"/>
      <w:bookmarkEnd w:id="658"/>
      <w:bookmarkEnd w:id="659"/>
      <w:bookmarkEnd w:id="660"/>
      <w:bookmarkEnd w:id="661"/>
      <w:bookmarkEnd w:id="662"/>
    </w:p>
    <w:p>
      <w:pPr>
        <w:spacing w:line="400" w:lineRule="exact"/>
        <w:ind w:firstLine="480" w:firstLineChars="200"/>
        <w:rPr>
          <w:rFonts w:ascii="宋体" w:hAnsi="宋体" w:cs="宋体"/>
          <w:color w:val="auto"/>
          <w:sz w:val="24"/>
        </w:rPr>
      </w:pPr>
      <w:r>
        <w:rPr>
          <w:rFonts w:hint="eastAsia" w:ascii="宋体" w:hAnsi="宋体" w:cs="宋体"/>
          <w:color w:val="auto"/>
          <w:sz w:val="24"/>
        </w:rPr>
        <w:t>3.2.1 磋商小组按本章第2.2款规定的量化因素和分值进行打分，并计算出综合评分得分。</w:t>
      </w:r>
    </w:p>
    <w:p>
      <w:pPr>
        <w:spacing w:line="400" w:lineRule="exact"/>
        <w:ind w:firstLine="480" w:firstLineChars="200"/>
        <w:rPr>
          <w:rFonts w:ascii="宋体" w:hAnsi="宋体" w:cs="宋体"/>
          <w:color w:val="auto"/>
          <w:sz w:val="24"/>
        </w:rPr>
      </w:pPr>
      <w:r>
        <w:rPr>
          <w:rFonts w:hint="eastAsia" w:ascii="宋体" w:hAnsi="宋体" w:cs="宋体"/>
          <w:color w:val="auto"/>
          <w:sz w:val="24"/>
        </w:rPr>
        <w:t>3.2.2 评分分值计算保留小数点后两位，小数点后第三位“四舍五入”。</w:t>
      </w:r>
    </w:p>
    <w:p>
      <w:pPr>
        <w:spacing w:line="400" w:lineRule="exact"/>
        <w:ind w:firstLine="480" w:firstLineChars="200"/>
        <w:rPr>
          <w:rFonts w:ascii="宋体" w:hAnsi="宋体" w:cs="宋体"/>
          <w:color w:val="auto"/>
          <w:sz w:val="24"/>
        </w:rPr>
      </w:pPr>
      <w:r>
        <w:rPr>
          <w:rFonts w:hint="eastAsia" w:ascii="宋体" w:hAnsi="宋体" w:cs="宋体"/>
          <w:color w:val="auto"/>
          <w:sz w:val="24"/>
        </w:rPr>
        <w:t>3.2.3供应商的最终得分以全部小组成员打分的算术平均值为准，作为该供应商的最终得分。</w:t>
      </w:r>
    </w:p>
    <w:p>
      <w:pPr>
        <w:spacing w:line="400" w:lineRule="exact"/>
        <w:ind w:firstLine="480" w:firstLineChars="200"/>
        <w:rPr>
          <w:rFonts w:ascii="宋体" w:hAnsi="宋体" w:cs="宋体"/>
          <w:color w:val="auto"/>
          <w:sz w:val="24"/>
        </w:rPr>
      </w:pPr>
      <w:r>
        <w:rPr>
          <w:rFonts w:hint="eastAsia" w:ascii="宋体" w:hAnsi="宋体" w:cs="宋体"/>
          <w:color w:val="auto"/>
          <w:sz w:val="24"/>
        </w:rPr>
        <w:t>3.2.4在磋商过程中，凡遇到磋商文件中无界定或界定不清、前后不一致使磋商小组意见有分歧且又难以协商一致的问题，均由磋商小组予以表决，获半数以上同意的即为通过，未获半数同意的即为否决。</w:t>
      </w:r>
    </w:p>
    <w:p>
      <w:pPr>
        <w:spacing w:line="360" w:lineRule="auto"/>
        <w:rPr>
          <w:rFonts w:ascii="宋体" w:hAnsi="宋体" w:cs="宋体"/>
          <w:color w:val="auto"/>
          <w:sz w:val="24"/>
        </w:rPr>
      </w:pPr>
      <w:bookmarkStart w:id="663" w:name="_Toc23896"/>
      <w:bookmarkStart w:id="664" w:name="_Toc10153"/>
      <w:bookmarkStart w:id="665" w:name="_Toc28633"/>
      <w:bookmarkStart w:id="666" w:name="_Toc11958"/>
      <w:bookmarkStart w:id="667" w:name="_Toc466298146"/>
      <w:bookmarkStart w:id="668" w:name="_Toc281405535"/>
      <w:bookmarkStart w:id="669" w:name="_Toc24862"/>
      <w:bookmarkStart w:id="670" w:name="_Toc318450729"/>
      <w:bookmarkStart w:id="671" w:name="_Toc455867823"/>
      <w:bookmarkStart w:id="672" w:name="_Toc8813"/>
      <w:bookmarkStart w:id="673" w:name="_Toc8342"/>
      <w:bookmarkStart w:id="674" w:name="_Toc485131207"/>
      <w:bookmarkStart w:id="675" w:name="_Toc455080163"/>
      <w:r>
        <w:rPr>
          <w:rFonts w:hint="eastAsia" w:ascii="宋体" w:hAnsi="宋体" w:cs="宋体"/>
          <w:color w:val="auto"/>
          <w:sz w:val="24"/>
        </w:rPr>
        <w:t>3.3 响应文件的澄清和补正</w:t>
      </w:r>
      <w:bookmarkEnd w:id="663"/>
      <w:bookmarkEnd w:id="664"/>
      <w:bookmarkEnd w:id="665"/>
      <w:bookmarkEnd w:id="666"/>
      <w:bookmarkEnd w:id="667"/>
      <w:bookmarkEnd w:id="668"/>
      <w:bookmarkEnd w:id="669"/>
      <w:bookmarkEnd w:id="670"/>
      <w:bookmarkEnd w:id="671"/>
      <w:bookmarkEnd w:id="672"/>
      <w:bookmarkEnd w:id="673"/>
      <w:bookmarkEnd w:id="674"/>
      <w:bookmarkEnd w:id="675"/>
    </w:p>
    <w:p>
      <w:pPr>
        <w:spacing w:line="400" w:lineRule="exact"/>
        <w:ind w:firstLine="480" w:firstLineChars="200"/>
        <w:rPr>
          <w:rFonts w:ascii="宋体" w:hAnsi="宋体" w:cs="宋体"/>
          <w:color w:val="auto"/>
          <w:sz w:val="24"/>
        </w:rPr>
      </w:pPr>
      <w:r>
        <w:rPr>
          <w:rFonts w:hint="eastAsia" w:ascii="宋体" w:hAnsi="宋体" w:cs="宋体"/>
          <w:color w:val="auto"/>
          <w:sz w:val="24"/>
        </w:rPr>
        <w:t>3.3.1在磋商过程中，磋商小组可以书面形式要求供应商对所提交的响应文件中不明确的内容进行书面澄清或说明，或者对细微偏离进行补正。磋商小组不接受供应商主动提出的澄清、说明或补正。</w:t>
      </w:r>
    </w:p>
    <w:p>
      <w:pPr>
        <w:spacing w:line="400" w:lineRule="exact"/>
        <w:ind w:firstLine="480" w:firstLineChars="200"/>
        <w:rPr>
          <w:rFonts w:ascii="宋体" w:hAnsi="宋体" w:cs="宋体"/>
          <w:color w:val="auto"/>
          <w:sz w:val="24"/>
        </w:rPr>
      </w:pPr>
      <w:r>
        <w:rPr>
          <w:rFonts w:hint="eastAsia" w:ascii="宋体" w:hAnsi="宋体" w:cs="宋体"/>
          <w:color w:val="auto"/>
          <w:sz w:val="24"/>
        </w:rPr>
        <w:t>3.3.2 澄清、说明和补正不得超出响应文件的范围或者改变响应文件的实质性内容（算术性错误修正的除外）。供应商的书面澄清、说明和补正属于响应文件的组成部分。</w:t>
      </w:r>
    </w:p>
    <w:p>
      <w:pPr>
        <w:spacing w:line="400" w:lineRule="exact"/>
        <w:ind w:firstLine="480" w:firstLineChars="200"/>
        <w:rPr>
          <w:rFonts w:ascii="宋体" w:hAnsi="宋体" w:cs="宋体"/>
          <w:color w:val="auto"/>
          <w:sz w:val="24"/>
        </w:rPr>
      </w:pPr>
      <w:r>
        <w:rPr>
          <w:rFonts w:hint="eastAsia" w:ascii="宋体" w:hAnsi="宋体" w:cs="宋体"/>
          <w:color w:val="auto"/>
          <w:sz w:val="24"/>
        </w:rPr>
        <w:t>3.3.3 磋商小组对供应商提交的澄清、说明或补正有疑问的，可以要求供应商进一步澄清、说明或补正，直至满足磋商小组的要求。</w:t>
      </w:r>
    </w:p>
    <w:p>
      <w:pPr>
        <w:spacing w:line="360" w:lineRule="auto"/>
        <w:rPr>
          <w:rFonts w:ascii="宋体" w:hAnsi="宋体" w:cs="宋体"/>
          <w:color w:val="auto"/>
          <w:sz w:val="24"/>
        </w:rPr>
      </w:pPr>
      <w:bookmarkStart w:id="676" w:name="_Toc19453"/>
      <w:bookmarkStart w:id="677" w:name="_Toc485131208"/>
      <w:bookmarkStart w:id="678" w:name="_Toc466298147"/>
      <w:bookmarkStart w:id="679" w:name="_Toc1857"/>
      <w:bookmarkStart w:id="680" w:name="_Toc455867824"/>
      <w:bookmarkStart w:id="681" w:name="_Toc26894"/>
      <w:bookmarkStart w:id="682" w:name="_Toc5903"/>
      <w:bookmarkStart w:id="683" w:name="_Toc22986"/>
      <w:bookmarkStart w:id="684" w:name="_Toc32183"/>
      <w:bookmarkStart w:id="685" w:name="_Toc455080164"/>
      <w:bookmarkStart w:id="686" w:name="_Toc30708"/>
      <w:bookmarkStart w:id="687" w:name="_Toc318450730"/>
      <w:bookmarkStart w:id="688" w:name="_Toc281405536"/>
      <w:r>
        <w:rPr>
          <w:rFonts w:hint="eastAsia" w:ascii="宋体" w:hAnsi="宋体" w:cs="宋体"/>
          <w:color w:val="auto"/>
          <w:sz w:val="24"/>
        </w:rPr>
        <w:t>3.4 评标结果</w:t>
      </w:r>
      <w:bookmarkEnd w:id="676"/>
      <w:bookmarkEnd w:id="677"/>
      <w:bookmarkEnd w:id="678"/>
      <w:bookmarkEnd w:id="679"/>
      <w:bookmarkEnd w:id="680"/>
      <w:bookmarkEnd w:id="681"/>
      <w:bookmarkEnd w:id="682"/>
      <w:bookmarkEnd w:id="683"/>
      <w:bookmarkEnd w:id="684"/>
      <w:bookmarkEnd w:id="685"/>
      <w:bookmarkEnd w:id="686"/>
      <w:bookmarkEnd w:id="687"/>
      <w:bookmarkEnd w:id="688"/>
    </w:p>
    <w:p>
      <w:pPr>
        <w:spacing w:line="400" w:lineRule="exact"/>
        <w:ind w:firstLine="480" w:firstLineChars="200"/>
        <w:rPr>
          <w:rFonts w:ascii="宋体" w:hAnsi="宋体" w:cs="宋体"/>
          <w:color w:val="auto"/>
          <w:sz w:val="24"/>
        </w:rPr>
      </w:pPr>
      <w:r>
        <w:rPr>
          <w:rFonts w:hint="eastAsia" w:ascii="宋体" w:hAnsi="宋体" w:cs="宋体"/>
          <w:color w:val="auto"/>
          <w:sz w:val="24"/>
        </w:rPr>
        <w:t>3.4.1除第二章“供应商须知”前附表授权直接确定成交人外，磋商小组按照得分由高到低的顺序推荐成交候选人。</w:t>
      </w:r>
    </w:p>
    <w:p>
      <w:pPr>
        <w:spacing w:line="400" w:lineRule="exact"/>
        <w:rPr>
          <w:rFonts w:ascii="宋体" w:hAnsi="宋体" w:cs="宋体"/>
          <w:color w:val="auto"/>
          <w:sz w:val="24"/>
        </w:rPr>
      </w:pPr>
      <w:r>
        <w:rPr>
          <w:rFonts w:hint="eastAsia" w:ascii="宋体" w:hAnsi="宋体" w:cs="宋体"/>
          <w:color w:val="auto"/>
          <w:sz w:val="24"/>
        </w:rPr>
        <w:t xml:space="preserve">   3.4.2 磋商小组完成评标后，应当向采购人提交书面评审报告。</w:t>
      </w: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360" w:lineRule="auto"/>
        <w:ind w:firstLine="472" w:firstLineChars="196"/>
        <w:rPr>
          <w:rFonts w:ascii="宋体" w:hAnsi="宋体" w:cs="宋体"/>
          <w:b/>
          <w:bCs/>
          <w:color w:val="auto"/>
          <w:sz w:val="24"/>
        </w:rPr>
      </w:pPr>
      <w:r>
        <w:rPr>
          <w:rFonts w:hint="eastAsia" w:ascii="宋体" w:hAnsi="宋体" w:cs="宋体"/>
          <w:b/>
          <w:bCs/>
          <w:color w:val="auto"/>
          <w:sz w:val="24"/>
        </w:rPr>
        <w:t>附表一：中小企业价格扣除办法</w:t>
      </w:r>
    </w:p>
    <w:tbl>
      <w:tblPr>
        <w:tblStyle w:val="39"/>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805"/>
        <w:gridCol w:w="6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项目</w:t>
            </w:r>
          </w:p>
        </w:tc>
        <w:tc>
          <w:tcPr>
            <w:tcW w:w="6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rPr>
            </w:pPr>
            <w:r>
              <w:rPr>
                <w:rFonts w:hint="eastAsia" w:ascii="宋体" w:hAnsi="宋体" w:cs="宋体"/>
                <w:b/>
                <w:color w:val="auto"/>
              </w:rPr>
              <w:t>1</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rPr>
            </w:pPr>
            <w:r>
              <w:rPr>
                <w:rFonts w:hint="eastAsia" w:ascii="宋体" w:hAnsi="宋体" w:cs="宋体"/>
                <w:b/>
                <w:color w:val="auto"/>
              </w:rPr>
              <w:t>本项目是否属于专门面向中小企业和监狱企业的政府采购活动</w:t>
            </w:r>
          </w:p>
        </w:tc>
        <w:tc>
          <w:tcPr>
            <w:tcW w:w="683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520" w:firstLineChars="1200"/>
              <w:rPr>
                <w:rFonts w:ascii="宋体" w:hAnsi="宋体" w:cs="宋体"/>
                <w:color w:val="auto"/>
                <w:kern w:val="0"/>
              </w:rPr>
            </w:pPr>
            <w:r>
              <w:rPr>
                <w:rFonts w:hint="eastAsia" w:ascii="宋体" w:hAnsi="宋体" w:cs="宋体"/>
                <w:color w:val="auto"/>
                <w:kern w:val="0"/>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rPr>
            </w:pPr>
            <w:r>
              <w:rPr>
                <w:rFonts w:hint="eastAsia" w:ascii="宋体" w:hAnsi="宋体" w:cs="宋体"/>
                <w:b/>
                <w:color w:val="auto"/>
              </w:rPr>
              <w:t>2</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rPr>
            </w:pPr>
            <w:r>
              <w:rPr>
                <w:rFonts w:hint="eastAsia" w:ascii="宋体" w:hAnsi="宋体" w:cs="宋体"/>
                <w:b/>
                <w:color w:val="auto"/>
              </w:rPr>
              <w:t>中小企业的认定标准</w:t>
            </w:r>
          </w:p>
        </w:tc>
        <w:tc>
          <w:tcPr>
            <w:tcW w:w="6835"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cs="宋体"/>
                <w:color w:val="auto"/>
                <w:kern w:val="0"/>
              </w:rPr>
            </w:pPr>
            <w:r>
              <w:rPr>
                <w:rFonts w:hint="eastAsia" w:ascii="宋体" w:hAnsi="宋体" w:cs="宋体"/>
                <w:color w:val="auto"/>
                <w:kern w:val="0"/>
              </w:rPr>
              <w:t>供应商须同时满足以下两个条件，才能认定为中小企业（含中型、小型、微型企业，下同）：</w:t>
            </w:r>
          </w:p>
          <w:p>
            <w:pPr>
              <w:spacing w:line="400" w:lineRule="exact"/>
              <w:ind w:firstLine="420" w:firstLineChars="200"/>
              <w:rPr>
                <w:rFonts w:ascii="宋体" w:hAnsi="宋体" w:cs="宋体"/>
                <w:color w:val="auto"/>
                <w:kern w:val="0"/>
              </w:rPr>
            </w:pPr>
            <w:r>
              <w:rPr>
                <w:rFonts w:hint="eastAsia" w:ascii="宋体" w:hAnsi="宋体" w:cs="宋体"/>
                <w:color w:val="auto"/>
                <w:kern w:val="0"/>
              </w:rPr>
              <w:t>一、符合《工业和信息化部、国家统计局、国家发展和改革委员会、财政部关于印发中小企业划型标准规定的通知》（工信部联企业〔2011〕300号）规定的中小企业划分标准；</w:t>
            </w:r>
          </w:p>
          <w:p>
            <w:pPr>
              <w:spacing w:line="400" w:lineRule="exact"/>
              <w:ind w:firstLine="420" w:firstLineChars="200"/>
              <w:rPr>
                <w:rFonts w:ascii="宋体" w:hAnsi="宋体" w:cs="宋体"/>
                <w:color w:val="auto"/>
                <w:kern w:val="0"/>
              </w:rPr>
            </w:pPr>
            <w:r>
              <w:rPr>
                <w:rFonts w:hint="eastAsia" w:ascii="宋体" w:hAnsi="宋体" w:cs="宋体"/>
                <w:color w:val="auto"/>
                <w:kern w:val="0"/>
              </w:rPr>
              <w:t>注：联合体参与报价的，以联合体中划型标准较高的一方，作为该联合体的企业划型标准。</w:t>
            </w:r>
          </w:p>
          <w:p>
            <w:pPr>
              <w:spacing w:line="400" w:lineRule="exact"/>
              <w:ind w:firstLine="420" w:firstLineChars="200"/>
              <w:rPr>
                <w:rFonts w:ascii="宋体" w:hAnsi="宋体" w:cs="宋体"/>
                <w:color w:val="auto"/>
                <w:kern w:val="0"/>
              </w:rPr>
            </w:pPr>
            <w:r>
              <w:rPr>
                <w:rFonts w:hint="eastAsia" w:ascii="宋体" w:hAnsi="宋体" w:cs="宋体"/>
                <w:color w:val="auto"/>
                <w:kern w:val="0"/>
              </w:rPr>
              <w:t>二、提供本企业制造的货物，或者提供其他中小企业制造的货物。本项所称货物不包括使用大型企业注册商标的货物；</w:t>
            </w:r>
          </w:p>
          <w:p>
            <w:pPr>
              <w:spacing w:line="400" w:lineRule="exact"/>
              <w:ind w:firstLine="420" w:firstLineChars="200"/>
              <w:rPr>
                <w:rFonts w:ascii="宋体" w:hAnsi="宋体" w:cs="宋体"/>
                <w:color w:val="auto"/>
              </w:rPr>
            </w:pPr>
            <w:r>
              <w:rPr>
                <w:rFonts w:hint="eastAsia" w:ascii="宋体" w:hAnsi="宋体" w:cs="宋体"/>
                <w:color w:val="auto"/>
                <w:kern w:val="0"/>
              </w:rPr>
              <w:t>注：小型、微型企业提供中型企业制造的货物的，视同为中型企业；中型企业提供小型、微型企业制造的货物的，视同为中型企业；中小企业提供大型企业制造的货物的，视同为大型企业。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rPr>
            </w:pPr>
            <w:r>
              <w:rPr>
                <w:rFonts w:hint="eastAsia" w:ascii="宋体" w:hAnsi="宋体" w:cs="宋体"/>
                <w:b/>
                <w:color w:val="auto"/>
              </w:rPr>
              <w:t>3</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rPr>
            </w:pPr>
            <w:r>
              <w:rPr>
                <w:rFonts w:hint="eastAsia" w:ascii="宋体" w:hAnsi="宋体" w:cs="宋体"/>
                <w:b/>
                <w:color w:val="auto"/>
              </w:rPr>
              <w:t>监狱企业的认定标准</w:t>
            </w:r>
          </w:p>
        </w:tc>
        <w:tc>
          <w:tcPr>
            <w:tcW w:w="6835"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cs="宋体"/>
                <w:color w:val="auto"/>
                <w:kern w:val="0"/>
              </w:rPr>
            </w:pPr>
            <w:r>
              <w:rPr>
                <w:rFonts w:hint="eastAsia" w:ascii="宋体" w:hAnsi="宋体" w:cs="宋体"/>
                <w:color w:val="auto"/>
                <w:kern w:val="0"/>
              </w:rPr>
              <w:t xml:space="preserve">省级及以上监狱管理局、戒毒管理局（含新疆生产建设兵团）出具的属于监狱企业的证明文件。监狱企业视同小型、微型企业。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rPr>
            </w:pPr>
            <w:r>
              <w:rPr>
                <w:rFonts w:hint="eastAsia" w:ascii="宋体" w:hAnsi="宋体" w:cs="宋体"/>
                <w:b/>
                <w:color w:val="auto"/>
              </w:rPr>
              <w:t>4</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rPr>
            </w:pPr>
            <w:r>
              <w:rPr>
                <w:rFonts w:hint="eastAsia" w:ascii="宋体" w:hAnsi="宋体" w:cs="宋体"/>
                <w:b/>
                <w:color w:val="auto"/>
              </w:rPr>
              <w:t>残疾人福利性单位的认定标准</w:t>
            </w:r>
          </w:p>
        </w:tc>
        <w:tc>
          <w:tcPr>
            <w:tcW w:w="6835" w:type="dxa"/>
            <w:tcBorders>
              <w:top w:val="single" w:color="auto" w:sz="4" w:space="0"/>
              <w:left w:val="single" w:color="auto" w:sz="4" w:space="0"/>
              <w:bottom w:val="single" w:color="auto" w:sz="4" w:space="0"/>
              <w:right w:val="single" w:color="auto" w:sz="4" w:space="0"/>
            </w:tcBorders>
          </w:tcPr>
          <w:p>
            <w:pPr>
              <w:spacing w:line="588" w:lineRule="exact"/>
              <w:rPr>
                <w:rFonts w:ascii="宋体" w:hAnsi="宋体" w:cs="宋体"/>
                <w:color w:val="auto"/>
                <w:kern w:val="0"/>
              </w:rPr>
            </w:pPr>
            <w:r>
              <w:rPr>
                <w:rFonts w:hint="eastAsia" w:ascii="宋体" w:hAnsi="宋体" w:cs="宋体"/>
                <w:color w:val="auto"/>
                <w:kern w:val="0"/>
              </w:rPr>
              <w:t>供应商需提供残疾人福利性单位声明函。残疾人福利性单位视同小型、微型企业。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rPr>
            </w:pPr>
            <w:r>
              <w:rPr>
                <w:rFonts w:hint="eastAsia" w:ascii="宋体" w:hAnsi="宋体" w:cs="宋体"/>
                <w:b/>
                <w:color w:val="auto"/>
              </w:rPr>
              <w:t>5</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rPr>
            </w:pPr>
            <w:r>
              <w:rPr>
                <w:rFonts w:hint="eastAsia" w:ascii="宋体" w:hAnsi="宋体" w:cs="宋体"/>
                <w:b/>
                <w:color w:val="auto"/>
              </w:rPr>
              <w:t>价格扣除办法</w:t>
            </w:r>
          </w:p>
        </w:tc>
        <w:tc>
          <w:tcPr>
            <w:tcW w:w="6835"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cs="宋体"/>
                <w:color w:val="auto"/>
                <w:kern w:val="0"/>
              </w:rPr>
            </w:pPr>
            <w:r>
              <w:rPr>
                <w:rFonts w:hint="eastAsia" w:ascii="宋体" w:hAnsi="宋体" w:cs="宋体"/>
                <w:color w:val="auto"/>
                <w:kern w:val="0"/>
              </w:rPr>
              <w:t>价格扣除：对于非专门面向中小企业的项目，为贯彻落实郑财办购〔2012〕8 号《郑州市财政局、郑州市工业和信息化委员会关于政府采购促进中小企业发展有关问题的通知》，促进中小型企业的发展，评审时给予中型企业3%的价格扣除，给予小型或微利企业6%的价格扣除，用扣除后的价格参与评审。</w:t>
            </w:r>
          </w:p>
          <w:p>
            <w:pPr>
              <w:spacing w:line="400" w:lineRule="exact"/>
              <w:ind w:firstLine="420" w:firstLineChars="200"/>
              <w:rPr>
                <w:rFonts w:ascii="宋体" w:hAnsi="宋体" w:cs="宋体"/>
                <w:color w:val="auto"/>
                <w:kern w:val="0"/>
              </w:rPr>
            </w:pPr>
            <w:r>
              <w:rPr>
                <w:rFonts w:hint="eastAsia" w:ascii="宋体" w:hAnsi="宋体" w:cs="宋体"/>
                <w:color w:val="auto"/>
                <w:kern w:val="0"/>
              </w:rPr>
              <w:t>注：大型企业与中、小型、微型企业组成联合体共同参加非专门面向中小企业的政府采购活动的，不视为中小企业。但联合协议中若约定，小型、微型企业的协议合同金额占到联合体协议合同总金额30％以上的，可给予联合体2％的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rPr>
            </w:pPr>
            <w:r>
              <w:rPr>
                <w:rFonts w:hint="eastAsia" w:ascii="宋体" w:hAnsi="宋体" w:cs="宋体"/>
                <w:b/>
                <w:color w:val="auto"/>
              </w:rPr>
              <w:t>6</w:t>
            </w:r>
          </w:p>
        </w:tc>
        <w:tc>
          <w:tcPr>
            <w:tcW w:w="180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rPr>
            </w:pPr>
            <w:r>
              <w:rPr>
                <w:rFonts w:hint="eastAsia" w:ascii="宋体" w:hAnsi="宋体" w:cs="宋体"/>
                <w:b/>
                <w:color w:val="auto"/>
              </w:rPr>
              <w:t>相关风险</w:t>
            </w:r>
          </w:p>
        </w:tc>
        <w:tc>
          <w:tcPr>
            <w:tcW w:w="683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kern w:val="0"/>
              </w:rPr>
            </w:pPr>
            <w:r>
              <w:rPr>
                <w:rFonts w:hint="eastAsia" w:ascii="宋体" w:hAnsi="宋体" w:cs="宋体"/>
                <w:color w:val="auto"/>
                <w:kern w:val="0"/>
              </w:rPr>
              <w:t>提供虚假证明材料后果：</w:t>
            </w:r>
          </w:p>
          <w:p>
            <w:pPr>
              <w:spacing w:line="400" w:lineRule="exact"/>
              <w:ind w:firstLine="420" w:firstLineChars="200"/>
              <w:rPr>
                <w:rFonts w:ascii="宋体" w:hAnsi="宋体" w:cs="宋体"/>
                <w:color w:val="auto"/>
                <w:kern w:val="0"/>
              </w:rPr>
            </w:pPr>
            <w:r>
              <w:rPr>
                <w:rFonts w:hint="eastAsia" w:ascii="宋体" w:hAnsi="宋体" w:cs="宋体"/>
                <w:color w:val="auto"/>
                <w:kern w:val="0"/>
              </w:rPr>
              <w:t xml:space="preserve">供应商为取得中小企业身份而提供虚假证明材料，在评审过程中发现的，按无效投标处理，投标保证金不予退还；已取得中标资格的，无论该行为是否影响中标，均取消其中标资格，投标保证金不予退还；该供应商还应承担由此引起的其他经济、法律责任。出现此种情形时，采购人、采购代理机构将有关情况上报政府采购监管部门，由监管部门按有关规定对其进行相应处罚。                                                                                                                                                            </w:t>
            </w:r>
          </w:p>
        </w:tc>
      </w:tr>
    </w:tbl>
    <w:p>
      <w:pPr>
        <w:spacing w:line="360" w:lineRule="auto"/>
        <w:jc w:val="center"/>
        <w:outlineLvl w:val="0"/>
        <w:rPr>
          <w:rFonts w:ascii="宋体" w:hAnsi="宋体" w:cs="宋体"/>
          <w:b/>
          <w:bCs/>
          <w:color w:val="auto"/>
          <w:sz w:val="24"/>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spacing w:line="400" w:lineRule="exact"/>
        <w:rPr>
          <w:rFonts w:ascii="宋体" w:hAnsi="宋体" w:cs="宋体"/>
          <w:color w:val="auto"/>
        </w:rPr>
      </w:pPr>
    </w:p>
    <w:p>
      <w:pPr>
        <w:pStyle w:val="3"/>
        <w:numPr>
          <w:ilvl w:val="0"/>
          <w:numId w:val="2"/>
        </w:numPr>
        <w:spacing w:before="120" w:after="120" w:line="400" w:lineRule="exact"/>
        <w:jc w:val="center"/>
        <w:rPr>
          <w:rFonts w:hint="eastAsia" w:ascii="宋体" w:hAnsi="宋体" w:cs="宋体"/>
          <w:bCs w:val="0"/>
          <w:color w:val="auto"/>
          <w:sz w:val="32"/>
        </w:rPr>
      </w:pPr>
      <w:bookmarkStart w:id="689" w:name="_Toc144974577"/>
      <w:bookmarkStart w:id="690" w:name="_Toc152045609"/>
      <w:bookmarkStart w:id="691" w:name="_Toc152042387"/>
      <w:bookmarkStart w:id="692" w:name="_Toc22114895"/>
      <w:r>
        <w:rPr>
          <w:rFonts w:hint="eastAsia" w:ascii="宋体" w:hAnsi="宋体" w:cs="宋体"/>
          <w:bCs w:val="0"/>
          <w:color w:val="auto"/>
          <w:sz w:val="32"/>
        </w:rPr>
        <w:t xml:space="preserve"> 合同</w:t>
      </w:r>
      <w:bookmarkEnd w:id="689"/>
      <w:bookmarkEnd w:id="690"/>
      <w:bookmarkEnd w:id="691"/>
      <w:r>
        <w:rPr>
          <w:rFonts w:hint="eastAsia" w:ascii="宋体" w:hAnsi="宋体" w:cs="宋体"/>
          <w:bCs w:val="0"/>
          <w:color w:val="auto"/>
          <w:sz w:val="32"/>
        </w:rPr>
        <w:t>文本</w:t>
      </w:r>
      <w:bookmarkEnd w:id="692"/>
    </w:p>
    <w:p>
      <w:pPr>
        <w:numPr>
          <w:ilvl w:val="0"/>
          <w:numId w:val="0"/>
        </w:numPr>
        <w:rPr>
          <w:rFonts w:hint="default" w:eastAsia="宋体"/>
          <w:color w:val="auto"/>
          <w:lang w:val="en-US" w:eastAsia="zh-CN"/>
        </w:rPr>
      </w:pPr>
      <w:r>
        <w:rPr>
          <w:rFonts w:hint="eastAsia"/>
          <w:color w:val="auto"/>
          <w:lang w:val="en-US" w:eastAsia="zh-CN"/>
        </w:rPr>
        <w:t xml:space="preserve">                            采购人和成交供应商协商确定</w:t>
      </w:r>
    </w:p>
    <w:p>
      <w:pPr>
        <w:pStyle w:val="3"/>
        <w:spacing w:before="120" w:after="120" w:line="400" w:lineRule="exact"/>
        <w:jc w:val="center"/>
        <w:rPr>
          <w:rFonts w:hint="eastAsia" w:ascii="宋体" w:hAnsi="宋体" w:eastAsia="宋体" w:cs="宋体"/>
          <w:bCs w:val="0"/>
          <w:color w:val="auto"/>
          <w:sz w:val="32"/>
          <w:lang w:eastAsia="zh-CN"/>
        </w:rPr>
      </w:pPr>
      <w:bookmarkStart w:id="693" w:name="_Toc22114896"/>
      <w:bookmarkStart w:id="694" w:name="_Toc152045786"/>
      <w:bookmarkStart w:id="695" w:name="_Toc144974855"/>
      <w:bookmarkStart w:id="696" w:name="_Toc152042575"/>
      <w:r>
        <w:rPr>
          <w:rFonts w:hint="eastAsia" w:ascii="宋体" w:hAnsi="宋体" w:cs="宋体"/>
          <w:bCs w:val="0"/>
          <w:color w:val="auto"/>
          <w:sz w:val="32"/>
        </w:rPr>
        <w:t xml:space="preserve">第五章  </w:t>
      </w:r>
      <w:bookmarkEnd w:id="693"/>
      <w:r>
        <w:rPr>
          <w:rFonts w:hint="eastAsia" w:ascii="宋体" w:hAnsi="宋体" w:cs="宋体"/>
          <w:bCs w:val="0"/>
          <w:color w:val="auto"/>
          <w:sz w:val="32"/>
          <w:lang w:eastAsia="zh-CN"/>
        </w:rPr>
        <w:t>采购需求</w:t>
      </w:r>
    </w:p>
    <w:p>
      <w:pPr>
        <w:pStyle w:val="32"/>
        <w:ind w:left="0" w:leftChars="0"/>
        <w:rPr>
          <w:b/>
          <w:color w:val="auto"/>
          <w:sz w:val="24"/>
          <w:szCs w:val="24"/>
        </w:rPr>
      </w:pPr>
      <w:bookmarkStart w:id="697" w:name="_Toc317840114"/>
      <w:r>
        <w:rPr>
          <w:rFonts w:hint="eastAsia"/>
          <w:b/>
          <w:color w:val="auto"/>
          <w:sz w:val="24"/>
          <w:szCs w:val="24"/>
        </w:rPr>
        <w:t>一、项目名称</w:t>
      </w:r>
    </w:p>
    <w:p>
      <w:pPr>
        <w:pStyle w:val="32"/>
        <w:ind w:left="0" w:leftChars="0" w:firstLine="120" w:firstLineChars="50"/>
        <w:rPr>
          <w:color w:val="auto"/>
          <w:sz w:val="24"/>
          <w:szCs w:val="24"/>
        </w:rPr>
      </w:pPr>
      <w:r>
        <w:rPr>
          <w:rFonts w:hint="eastAsia" w:ascii="宋体" w:hAnsi="宋体" w:cs="宋体"/>
          <w:color w:val="auto"/>
          <w:sz w:val="24"/>
          <w:szCs w:val="24"/>
          <w:shd w:val="clear" w:color="auto" w:fill="FFFFFF"/>
        </w:rPr>
        <w:t xml:space="preserve">  </w:t>
      </w:r>
      <w:r>
        <w:rPr>
          <w:rFonts w:hint="eastAsia" w:ascii="宋体" w:hAnsi="宋体" w:cs="宋体"/>
          <w:color w:val="auto"/>
          <w:sz w:val="24"/>
          <w:szCs w:val="24"/>
          <w:shd w:val="clear" w:color="auto" w:fill="FFFFFF"/>
          <w:lang w:eastAsia="zh-CN"/>
        </w:rPr>
        <w:t>郑州市教育局郑州美育微信公众号全年运营服务项目</w:t>
      </w:r>
      <w:r>
        <w:rPr>
          <w:rFonts w:hint="eastAsia" w:ascii="宋体" w:hAnsi="宋体" w:cs="宋体"/>
          <w:color w:val="auto"/>
          <w:sz w:val="24"/>
          <w:szCs w:val="24"/>
          <w:shd w:val="clear" w:color="auto" w:fill="FFFFFF"/>
        </w:rPr>
        <w:t>。</w:t>
      </w:r>
    </w:p>
    <w:p>
      <w:pPr>
        <w:pStyle w:val="32"/>
        <w:ind w:left="0" w:leftChars="0"/>
        <w:rPr>
          <w:rFonts w:hint="default" w:ascii="宋体" w:hAnsi="宋体" w:eastAsia="宋体" w:cs="宋体"/>
          <w:color w:val="auto"/>
          <w:kern w:val="0"/>
          <w:sz w:val="24"/>
          <w:lang w:val="en-US" w:eastAsia="zh-CN"/>
        </w:rPr>
      </w:pPr>
      <w:r>
        <w:rPr>
          <w:rFonts w:hint="eastAsia"/>
          <w:b/>
          <w:color w:val="auto"/>
          <w:sz w:val="24"/>
          <w:szCs w:val="24"/>
        </w:rPr>
        <w:t>二、</w:t>
      </w:r>
      <w:r>
        <w:rPr>
          <w:rFonts w:hint="eastAsia"/>
          <w:b/>
          <w:color w:val="auto"/>
          <w:sz w:val="24"/>
          <w:szCs w:val="24"/>
          <w:lang w:val="en-US" w:eastAsia="zh-CN"/>
        </w:rPr>
        <w:t>服务期限</w:t>
      </w:r>
      <w:r>
        <w:rPr>
          <w:rFonts w:hint="eastAsia"/>
          <w:b/>
          <w:color w:val="auto"/>
          <w:sz w:val="24"/>
          <w:szCs w:val="24"/>
        </w:rPr>
        <w:t>：</w:t>
      </w:r>
      <w:r>
        <w:rPr>
          <w:rFonts w:hint="eastAsia"/>
          <w:color w:val="auto"/>
          <w:sz w:val="24"/>
          <w:lang w:val="en-US" w:eastAsia="zh-CN"/>
        </w:rPr>
        <w:t xml:space="preserve">一年 </w:t>
      </w:r>
      <w:r>
        <w:rPr>
          <w:rFonts w:hint="eastAsia" w:ascii="宋体" w:hAnsi="宋体" w:cs="宋体"/>
          <w:color w:val="auto"/>
          <w:kern w:val="0"/>
          <w:sz w:val="24"/>
          <w:lang w:eastAsia="zh-CN"/>
        </w:rPr>
        <w:t>。</w:t>
      </w:r>
    </w:p>
    <w:p>
      <w:pPr>
        <w:pStyle w:val="32"/>
        <w:ind w:left="0" w:leftChars="0"/>
        <w:rPr>
          <w:b/>
          <w:color w:val="auto"/>
          <w:sz w:val="24"/>
          <w:szCs w:val="24"/>
        </w:rPr>
      </w:pPr>
      <w:r>
        <w:rPr>
          <w:rFonts w:hint="eastAsia"/>
          <w:b/>
          <w:color w:val="auto"/>
          <w:sz w:val="24"/>
          <w:szCs w:val="24"/>
        </w:rPr>
        <w:t>三、</w:t>
      </w:r>
      <w:r>
        <w:rPr>
          <w:rFonts w:hint="eastAsia"/>
          <w:b/>
          <w:color w:val="auto"/>
          <w:sz w:val="24"/>
          <w:szCs w:val="24"/>
          <w:lang w:eastAsia="zh-CN"/>
        </w:rPr>
        <w:t>采购</w:t>
      </w:r>
      <w:r>
        <w:rPr>
          <w:rFonts w:hint="eastAsia"/>
          <w:b/>
          <w:color w:val="auto"/>
          <w:sz w:val="24"/>
          <w:szCs w:val="24"/>
        </w:rPr>
        <w:t>内容及标准：</w:t>
      </w:r>
    </w:p>
    <w:bookmarkEnd w:id="697"/>
    <w:p>
      <w:pPr>
        <w:spacing w:line="360" w:lineRule="auto"/>
        <w:ind w:firstLine="360" w:firstLineChars="150"/>
        <w:rPr>
          <w:rFonts w:ascii="宋体" w:hAnsi="宋体" w:cs="宋体"/>
          <w:color w:val="auto"/>
          <w:sz w:val="24"/>
        </w:rPr>
      </w:pPr>
      <w:r>
        <w:rPr>
          <w:rFonts w:hint="eastAsia" w:ascii="宋体" w:hAnsi="宋体" w:cs="宋体"/>
          <w:color w:val="auto"/>
          <w:sz w:val="24"/>
        </w:rPr>
        <w:t>针对郑州美育微信公众号全年运营服务提出合理方案，从政策解读、专题报道、示范学校、活动赛事四个版块来展示郑州美育工作，为郑州美育工作搭建全新的宣传平台，拉近上级与基层之间的距离，促进各学校、基层教师、学生、家长及更多关注者的沟通与交流，利用新媒体对我市美育工作进行宣传</w:t>
      </w:r>
      <w:r>
        <w:rPr>
          <w:rFonts w:hint="eastAsia" w:ascii="宋体" w:hAnsi="宋体" w:cs="宋体"/>
          <w:color w:val="auto"/>
          <w:sz w:val="24"/>
          <w:lang w:eastAsia="zh-CN"/>
        </w:rPr>
        <w:t>，</w:t>
      </w:r>
      <w:r>
        <w:rPr>
          <w:rFonts w:hint="eastAsia" w:ascii="宋体" w:hAnsi="宋体" w:cs="宋体"/>
          <w:color w:val="auto"/>
          <w:sz w:val="24"/>
        </w:rPr>
        <w:t>为第七届全国中小学生艺术展演活动营造良好氛围，确保第七届全国中小学生艺术展演活动圆满顺利进行</w:t>
      </w:r>
    </w:p>
    <w:p>
      <w:pPr>
        <w:spacing w:line="360" w:lineRule="auto"/>
        <w:ind w:firstLine="360" w:firstLineChars="150"/>
        <w:rPr>
          <w:rFonts w:ascii="宋体" w:hAnsi="宋体" w:cs="宋体"/>
          <w:color w:val="auto"/>
          <w:sz w:val="24"/>
        </w:rPr>
      </w:pPr>
    </w:p>
    <w:p>
      <w:pPr>
        <w:spacing w:line="360" w:lineRule="auto"/>
        <w:ind w:firstLine="360" w:firstLineChars="150"/>
        <w:rPr>
          <w:rFonts w:ascii="宋体" w:hAnsi="宋体" w:cs="宋体"/>
          <w:color w:val="auto"/>
          <w:sz w:val="24"/>
        </w:rPr>
      </w:pPr>
    </w:p>
    <w:p>
      <w:pPr>
        <w:spacing w:line="360" w:lineRule="auto"/>
        <w:ind w:firstLine="360" w:firstLineChars="150"/>
        <w:rPr>
          <w:rFonts w:ascii="宋体" w:hAnsi="宋体" w:cs="宋体"/>
          <w:color w:val="auto"/>
          <w:sz w:val="24"/>
        </w:rPr>
      </w:pPr>
    </w:p>
    <w:p>
      <w:pPr>
        <w:spacing w:line="360" w:lineRule="auto"/>
        <w:ind w:firstLine="360" w:firstLineChars="150"/>
        <w:rPr>
          <w:rFonts w:ascii="宋体" w:hAnsi="宋体" w:cs="宋体"/>
          <w:color w:val="auto"/>
          <w:sz w:val="24"/>
        </w:rPr>
      </w:pPr>
    </w:p>
    <w:p>
      <w:pPr>
        <w:spacing w:line="360" w:lineRule="auto"/>
        <w:ind w:firstLine="360" w:firstLineChars="150"/>
        <w:rPr>
          <w:rFonts w:ascii="宋体" w:hAnsi="宋体" w:cs="宋体"/>
          <w:color w:val="auto"/>
          <w:sz w:val="24"/>
        </w:rPr>
      </w:pPr>
    </w:p>
    <w:p>
      <w:pPr>
        <w:spacing w:line="360" w:lineRule="auto"/>
        <w:ind w:firstLine="360" w:firstLineChars="150"/>
        <w:rPr>
          <w:rFonts w:ascii="宋体" w:hAnsi="宋体" w:cs="宋体"/>
          <w:color w:val="auto"/>
          <w:sz w:val="24"/>
        </w:rPr>
      </w:pPr>
    </w:p>
    <w:p>
      <w:pPr>
        <w:widowControl/>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spacing w:line="400" w:lineRule="exact"/>
        <w:jc w:val="left"/>
        <w:rPr>
          <w:rFonts w:ascii="宋体" w:hAnsi="宋体" w:cs="宋体"/>
          <w:color w:val="auto"/>
        </w:rPr>
      </w:pPr>
    </w:p>
    <w:p>
      <w:pPr>
        <w:pStyle w:val="3"/>
        <w:spacing w:before="120" w:after="120" w:line="400" w:lineRule="exact"/>
        <w:jc w:val="center"/>
        <w:rPr>
          <w:rFonts w:ascii="宋体" w:hAnsi="宋体" w:cs="宋体"/>
          <w:bCs w:val="0"/>
          <w:color w:val="auto"/>
          <w:sz w:val="32"/>
        </w:rPr>
      </w:pPr>
      <w:bookmarkStart w:id="698" w:name="_Toc22114897"/>
      <w:r>
        <w:rPr>
          <w:rFonts w:hint="eastAsia" w:ascii="宋体" w:hAnsi="宋体" w:cs="宋体"/>
          <w:bCs w:val="0"/>
          <w:color w:val="auto"/>
          <w:sz w:val="32"/>
        </w:rPr>
        <w:t>第六章  竞争性磋商响应文件格式</w:t>
      </w:r>
      <w:bookmarkEnd w:id="694"/>
      <w:bookmarkEnd w:id="695"/>
      <w:bookmarkEnd w:id="696"/>
      <w:bookmarkEnd w:id="698"/>
    </w:p>
    <w:p>
      <w:pPr>
        <w:spacing w:line="400" w:lineRule="exact"/>
        <w:rPr>
          <w:rFonts w:ascii="宋体" w:hAnsi="宋体" w:cs="宋体"/>
          <w:color w:val="auto"/>
        </w:rPr>
      </w:pPr>
    </w:p>
    <w:p>
      <w:pPr>
        <w:widowControl/>
        <w:jc w:val="left"/>
        <w:rPr>
          <w:rFonts w:ascii="宋体" w:hAnsi="宋体" w:cs="宋体"/>
          <w:color w:val="auto"/>
        </w:rPr>
      </w:pPr>
      <w:r>
        <w:rPr>
          <w:rFonts w:ascii="宋体" w:hAnsi="宋体" w:cs="宋体"/>
          <w:color w:val="auto"/>
        </w:rPr>
        <w:br w:type="page"/>
      </w:r>
    </w:p>
    <w:p>
      <w:pPr>
        <w:spacing w:line="440" w:lineRule="exact"/>
        <w:jc w:val="right"/>
        <w:rPr>
          <w:rFonts w:ascii="宋体" w:hAnsi="宋体" w:cs="宋体"/>
          <w:color w:val="auto"/>
          <w:sz w:val="28"/>
          <w:szCs w:val="28"/>
          <w:bdr w:val="single" w:color="auto" w:sz="4" w:space="0"/>
        </w:rPr>
      </w:pPr>
      <w:r>
        <w:rPr>
          <w:rFonts w:hint="eastAsia" w:ascii="宋体" w:hAnsi="宋体" w:cs="宋体"/>
          <w:color w:val="auto"/>
          <w:sz w:val="28"/>
          <w:szCs w:val="28"/>
          <w:bdr w:val="single" w:color="auto" w:sz="4" w:space="0"/>
        </w:rPr>
        <w:t>正本或副本</w:t>
      </w:r>
    </w:p>
    <w:p>
      <w:pPr>
        <w:spacing w:line="440" w:lineRule="exact"/>
        <w:rPr>
          <w:rFonts w:ascii="宋体" w:hAnsi="宋体" w:cs="宋体"/>
          <w:color w:val="auto"/>
          <w:sz w:val="20"/>
          <w:szCs w:val="20"/>
        </w:rPr>
      </w:pPr>
    </w:p>
    <w:p>
      <w:pPr>
        <w:spacing w:line="440" w:lineRule="exact"/>
        <w:rPr>
          <w:rFonts w:ascii="宋体" w:hAnsi="宋体" w:cs="宋体"/>
          <w:color w:val="auto"/>
          <w:sz w:val="20"/>
          <w:szCs w:val="20"/>
        </w:rPr>
      </w:pPr>
    </w:p>
    <w:p>
      <w:pPr>
        <w:jc w:val="center"/>
        <w:rPr>
          <w:rFonts w:ascii="宋体" w:hAnsi="宋体" w:cs="宋体"/>
          <w:color w:val="auto"/>
          <w:sz w:val="36"/>
          <w:szCs w:val="36"/>
        </w:rPr>
      </w:pPr>
      <w:r>
        <w:rPr>
          <w:rFonts w:hint="eastAsia" w:ascii="宋体" w:hAnsi="宋体" w:cs="宋体"/>
          <w:color w:val="auto"/>
          <w:sz w:val="36"/>
          <w:szCs w:val="36"/>
          <w:u w:val="single"/>
        </w:rPr>
        <w:t xml:space="preserve">     （项目名称）       </w:t>
      </w:r>
      <w:r>
        <w:rPr>
          <w:rFonts w:hint="eastAsia" w:ascii="宋体" w:hAnsi="宋体" w:cs="宋体"/>
          <w:color w:val="auto"/>
          <w:sz w:val="36"/>
          <w:szCs w:val="36"/>
        </w:rPr>
        <w:t>竞争性磋商</w:t>
      </w:r>
    </w:p>
    <w:p>
      <w:pPr>
        <w:jc w:val="center"/>
        <w:rPr>
          <w:rFonts w:ascii="宋体" w:hAnsi="宋体" w:cs="宋体"/>
          <w:color w:val="auto"/>
          <w:sz w:val="28"/>
          <w:szCs w:val="28"/>
        </w:rPr>
      </w:pPr>
    </w:p>
    <w:p>
      <w:pPr>
        <w:jc w:val="center"/>
        <w:rPr>
          <w:rFonts w:ascii="宋体" w:hAnsi="宋体" w:cs="宋体"/>
          <w:color w:val="auto"/>
          <w:sz w:val="28"/>
          <w:szCs w:val="28"/>
        </w:rPr>
      </w:pPr>
    </w:p>
    <w:p>
      <w:pPr>
        <w:jc w:val="center"/>
        <w:rPr>
          <w:rFonts w:ascii="宋体" w:hAnsi="宋体" w:cs="宋体"/>
          <w:b/>
          <w:color w:val="auto"/>
          <w:sz w:val="84"/>
          <w:szCs w:val="84"/>
        </w:rPr>
      </w:pPr>
      <w:r>
        <w:rPr>
          <w:rFonts w:hint="eastAsia" w:ascii="宋体" w:hAnsi="宋体" w:cs="宋体"/>
          <w:b/>
          <w:color w:val="auto"/>
          <w:sz w:val="84"/>
          <w:szCs w:val="84"/>
        </w:rPr>
        <w:t>响应文件</w:t>
      </w:r>
    </w:p>
    <w:p>
      <w:pPr>
        <w:spacing w:line="400" w:lineRule="exact"/>
        <w:rPr>
          <w:rFonts w:ascii="宋体" w:hAnsi="宋体" w:cs="宋体"/>
          <w:color w:val="auto"/>
          <w:sz w:val="28"/>
          <w:szCs w:val="28"/>
        </w:rPr>
      </w:pPr>
    </w:p>
    <w:p>
      <w:pPr>
        <w:spacing w:line="400" w:lineRule="exact"/>
        <w:rPr>
          <w:rFonts w:ascii="宋体" w:hAnsi="宋体" w:cs="宋体"/>
          <w:color w:val="auto"/>
          <w:sz w:val="28"/>
          <w:szCs w:val="28"/>
        </w:rPr>
      </w:pPr>
    </w:p>
    <w:p>
      <w:pPr>
        <w:spacing w:line="400" w:lineRule="exact"/>
        <w:rPr>
          <w:rFonts w:ascii="宋体" w:hAnsi="宋体" w:cs="宋体"/>
          <w:color w:val="auto"/>
          <w:sz w:val="28"/>
          <w:szCs w:val="28"/>
        </w:rPr>
      </w:pPr>
    </w:p>
    <w:p>
      <w:pPr>
        <w:spacing w:line="400" w:lineRule="exact"/>
        <w:rPr>
          <w:rFonts w:ascii="宋体" w:hAnsi="宋体" w:cs="宋体"/>
          <w:color w:val="auto"/>
          <w:sz w:val="28"/>
          <w:szCs w:val="28"/>
        </w:rPr>
      </w:pPr>
    </w:p>
    <w:p>
      <w:pPr>
        <w:spacing w:line="400" w:lineRule="exact"/>
        <w:rPr>
          <w:rFonts w:ascii="宋体" w:hAnsi="宋体" w:cs="宋体"/>
          <w:color w:val="auto"/>
          <w:sz w:val="28"/>
          <w:szCs w:val="28"/>
        </w:rPr>
      </w:pPr>
    </w:p>
    <w:p>
      <w:pPr>
        <w:spacing w:line="400" w:lineRule="exact"/>
        <w:rPr>
          <w:rFonts w:ascii="宋体" w:hAnsi="宋体" w:cs="宋体"/>
          <w:color w:val="auto"/>
          <w:sz w:val="28"/>
          <w:szCs w:val="28"/>
        </w:rPr>
      </w:pPr>
    </w:p>
    <w:p>
      <w:pPr>
        <w:spacing w:line="400" w:lineRule="exact"/>
        <w:rPr>
          <w:rFonts w:ascii="宋体" w:hAnsi="宋体" w:cs="宋体"/>
          <w:color w:val="auto"/>
          <w:sz w:val="28"/>
          <w:szCs w:val="28"/>
        </w:rPr>
      </w:pPr>
    </w:p>
    <w:p>
      <w:pPr>
        <w:spacing w:line="400" w:lineRule="exact"/>
        <w:rPr>
          <w:rFonts w:ascii="宋体" w:hAnsi="宋体" w:cs="宋体"/>
          <w:color w:val="auto"/>
          <w:sz w:val="28"/>
          <w:szCs w:val="28"/>
        </w:rPr>
      </w:pPr>
    </w:p>
    <w:p>
      <w:pPr>
        <w:spacing w:line="400" w:lineRule="exact"/>
        <w:rPr>
          <w:rFonts w:ascii="宋体" w:hAnsi="宋体" w:cs="宋体"/>
          <w:color w:val="auto"/>
          <w:sz w:val="28"/>
          <w:szCs w:val="28"/>
        </w:rPr>
      </w:pPr>
    </w:p>
    <w:p>
      <w:pPr>
        <w:spacing w:line="400" w:lineRule="exact"/>
        <w:rPr>
          <w:rFonts w:ascii="宋体" w:hAnsi="宋体" w:cs="宋体"/>
          <w:color w:val="auto"/>
          <w:sz w:val="28"/>
          <w:szCs w:val="28"/>
        </w:rPr>
      </w:pPr>
    </w:p>
    <w:p>
      <w:pPr>
        <w:spacing w:line="400" w:lineRule="exact"/>
        <w:rPr>
          <w:rFonts w:ascii="宋体" w:hAnsi="宋体" w:cs="宋体"/>
          <w:color w:val="auto"/>
          <w:sz w:val="28"/>
          <w:szCs w:val="28"/>
        </w:rPr>
      </w:pPr>
    </w:p>
    <w:p>
      <w:pPr>
        <w:spacing w:line="360" w:lineRule="auto"/>
        <w:rPr>
          <w:rFonts w:ascii="宋体" w:hAnsi="宋体" w:cs="宋体"/>
          <w:color w:val="auto"/>
          <w:sz w:val="28"/>
          <w:szCs w:val="28"/>
        </w:rPr>
      </w:pPr>
    </w:p>
    <w:p>
      <w:pPr>
        <w:jc w:val="center"/>
        <w:rPr>
          <w:rFonts w:ascii="宋体" w:hAnsi="宋体" w:cs="宋体"/>
          <w:color w:val="auto"/>
          <w:sz w:val="28"/>
          <w:szCs w:val="28"/>
        </w:rPr>
      </w:pPr>
      <w:r>
        <w:rPr>
          <w:rFonts w:hint="eastAsia" w:ascii="宋体" w:hAnsi="宋体" w:cs="宋体"/>
          <w:color w:val="auto"/>
          <w:sz w:val="28"/>
          <w:szCs w:val="28"/>
        </w:rPr>
        <w:t>供应商：（盖单位章）</w:t>
      </w:r>
    </w:p>
    <w:p>
      <w:pPr>
        <w:jc w:val="center"/>
        <w:rPr>
          <w:rFonts w:ascii="宋体" w:hAnsi="宋体" w:cs="宋体"/>
          <w:color w:val="auto"/>
          <w:sz w:val="15"/>
          <w:szCs w:val="15"/>
          <w:u w:val="single"/>
        </w:rPr>
      </w:pPr>
    </w:p>
    <w:p>
      <w:pPr>
        <w:jc w:val="center"/>
        <w:rPr>
          <w:rFonts w:ascii="宋体" w:hAnsi="宋体" w:cs="宋体"/>
          <w:color w:val="auto"/>
          <w:sz w:val="28"/>
          <w:szCs w:val="28"/>
        </w:rPr>
      </w:pPr>
      <w:r>
        <w:rPr>
          <w:rFonts w:hint="eastAsia" w:ascii="宋体" w:hAnsi="宋体" w:cs="宋体"/>
          <w:color w:val="auto"/>
          <w:sz w:val="28"/>
          <w:szCs w:val="28"/>
        </w:rPr>
        <w:t>法定代表人或其委托代理人：（签字或盖章）</w:t>
      </w:r>
    </w:p>
    <w:p>
      <w:pPr>
        <w:jc w:val="center"/>
        <w:rPr>
          <w:rFonts w:ascii="宋体" w:hAnsi="宋体" w:cs="宋体"/>
          <w:color w:val="auto"/>
          <w:sz w:val="15"/>
          <w:szCs w:val="15"/>
        </w:rPr>
      </w:pPr>
    </w:p>
    <w:p>
      <w:pPr>
        <w:jc w:val="center"/>
        <w:rPr>
          <w:rFonts w:ascii="宋体" w:hAnsi="宋体" w:cs="宋体"/>
          <w:color w:val="auto"/>
          <w:sz w:val="28"/>
          <w:szCs w:val="28"/>
        </w:rPr>
      </w:pPr>
      <w:r>
        <w:rPr>
          <w:rFonts w:hint="eastAsia" w:ascii="宋体" w:hAnsi="宋体" w:cs="宋体"/>
          <w:color w:val="auto"/>
          <w:sz w:val="28"/>
          <w:szCs w:val="28"/>
        </w:rPr>
        <w:t>年  月  日</w:t>
      </w:r>
    </w:p>
    <w:p>
      <w:pPr>
        <w:spacing w:line="440" w:lineRule="exact"/>
        <w:rPr>
          <w:rFonts w:ascii="宋体" w:hAnsi="宋体" w:cs="宋体"/>
          <w:color w:val="auto"/>
          <w:sz w:val="20"/>
          <w:szCs w:val="20"/>
        </w:rPr>
      </w:pPr>
    </w:p>
    <w:p>
      <w:pPr>
        <w:spacing w:line="400" w:lineRule="exact"/>
        <w:jc w:val="center"/>
        <w:rPr>
          <w:rFonts w:ascii="宋体" w:hAnsi="宋体" w:cs="宋体"/>
          <w:color w:val="auto"/>
        </w:rPr>
      </w:pPr>
      <w:r>
        <w:rPr>
          <w:rFonts w:hint="eastAsia" w:ascii="宋体" w:hAnsi="宋体" w:cs="宋体"/>
          <w:color w:val="auto"/>
        </w:rPr>
        <w:br w:type="page"/>
      </w:r>
      <w:bookmarkStart w:id="699" w:name="_Toc466298157"/>
      <w:bookmarkStart w:id="700" w:name="_Toc144974856"/>
      <w:bookmarkStart w:id="701" w:name="_Toc152042576"/>
      <w:bookmarkStart w:id="702" w:name="_Toc152045787"/>
    </w:p>
    <w:p>
      <w:pPr>
        <w:spacing w:line="400" w:lineRule="exact"/>
        <w:jc w:val="center"/>
        <w:rPr>
          <w:rFonts w:ascii="宋体" w:hAnsi="宋体" w:cs="宋体"/>
          <w:color w:val="auto"/>
        </w:rPr>
      </w:pPr>
    </w:p>
    <w:p>
      <w:pPr>
        <w:spacing w:line="400" w:lineRule="exact"/>
        <w:jc w:val="center"/>
        <w:rPr>
          <w:rFonts w:ascii="宋体" w:hAnsi="宋体"/>
          <w:b/>
          <w:color w:val="auto"/>
          <w:sz w:val="36"/>
          <w:szCs w:val="36"/>
        </w:rPr>
      </w:pPr>
      <w:r>
        <w:rPr>
          <w:rFonts w:hint="eastAsia" w:ascii="宋体" w:hAnsi="宋体"/>
          <w:b/>
          <w:color w:val="auto"/>
          <w:sz w:val="36"/>
          <w:szCs w:val="36"/>
        </w:rPr>
        <w:t>目 录</w:t>
      </w:r>
      <w:bookmarkEnd w:id="699"/>
      <w:bookmarkEnd w:id="700"/>
      <w:bookmarkEnd w:id="701"/>
      <w:bookmarkEnd w:id="702"/>
    </w:p>
    <w:p>
      <w:pPr>
        <w:spacing w:line="540" w:lineRule="exact"/>
        <w:ind w:firstLine="708" w:firstLineChars="295"/>
        <w:rPr>
          <w:rFonts w:ascii="宋体" w:hAnsi="宋体" w:cs="宋体"/>
          <w:color w:val="auto"/>
          <w:sz w:val="24"/>
        </w:rPr>
      </w:pPr>
    </w:p>
    <w:p>
      <w:pPr>
        <w:spacing w:line="540" w:lineRule="exact"/>
        <w:ind w:firstLine="708" w:firstLineChars="295"/>
        <w:rPr>
          <w:rFonts w:ascii="宋体" w:hAnsi="宋体" w:cs="宋体"/>
          <w:color w:val="auto"/>
          <w:sz w:val="24"/>
        </w:rPr>
      </w:pPr>
      <w:r>
        <w:rPr>
          <w:rFonts w:hint="eastAsia" w:ascii="宋体" w:hAnsi="宋体" w:cs="宋体"/>
          <w:color w:val="auto"/>
          <w:sz w:val="24"/>
        </w:rPr>
        <w:t>一、磋商函及磋商函附录</w:t>
      </w:r>
    </w:p>
    <w:p>
      <w:pPr>
        <w:spacing w:line="540" w:lineRule="exact"/>
        <w:ind w:firstLine="708" w:firstLineChars="295"/>
        <w:rPr>
          <w:rFonts w:hint="eastAsia" w:ascii="宋体" w:hAnsi="宋体" w:cs="宋体"/>
          <w:color w:val="auto"/>
          <w:sz w:val="24"/>
        </w:rPr>
      </w:pPr>
      <w:r>
        <w:rPr>
          <w:rFonts w:hint="eastAsia" w:ascii="宋体" w:hAnsi="宋体" w:cs="宋体"/>
          <w:color w:val="auto"/>
          <w:sz w:val="24"/>
        </w:rPr>
        <w:t>二、项目方案及服务承诺</w:t>
      </w:r>
    </w:p>
    <w:p>
      <w:pPr>
        <w:pStyle w:val="2"/>
        <w:rPr>
          <w:rFonts w:hint="eastAsia" w:ascii="宋体" w:hAnsi="宋体" w:cs="宋体"/>
          <w:color w:val="auto"/>
          <w:sz w:val="24"/>
          <w:lang w:val="en-US" w:eastAsia="zh-CN"/>
        </w:rPr>
      </w:pPr>
      <w:r>
        <w:rPr>
          <w:rFonts w:hint="eastAsia" w:ascii="宋体" w:hAnsi="宋体" w:cs="宋体"/>
          <w:color w:val="auto"/>
          <w:sz w:val="24"/>
          <w:lang w:val="en-US" w:eastAsia="zh-CN"/>
        </w:rPr>
        <w:t xml:space="preserve">          （1）项目方案框架</w:t>
      </w:r>
    </w:p>
    <w:p>
      <w:pPr>
        <w:pStyle w:val="2"/>
        <w:rPr>
          <w:rFonts w:hint="eastAsia" w:ascii="宋体" w:hAnsi="宋体" w:cs="宋体"/>
          <w:color w:val="auto"/>
          <w:sz w:val="24"/>
          <w:lang w:val="en-US" w:eastAsia="zh-CN"/>
        </w:rPr>
      </w:pPr>
      <w:r>
        <w:rPr>
          <w:rFonts w:hint="eastAsia" w:ascii="宋体" w:hAnsi="宋体" w:cs="宋体"/>
          <w:color w:val="auto"/>
          <w:sz w:val="24"/>
          <w:lang w:val="en-US" w:eastAsia="zh-CN"/>
        </w:rPr>
        <w:t xml:space="preserve">           (2)项目工作计划</w:t>
      </w:r>
    </w:p>
    <w:p>
      <w:pPr>
        <w:pStyle w:val="2"/>
        <w:rPr>
          <w:rFonts w:hint="eastAsia" w:ascii="宋体" w:hAnsi="宋体" w:cs="宋体"/>
          <w:color w:val="auto"/>
          <w:sz w:val="24"/>
          <w:lang w:val="en-US" w:eastAsia="zh-CN"/>
        </w:rPr>
      </w:pPr>
      <w:r>
        <w:rPr>
          <w:rFonts w:hint="eastAsia" w:ascii="宋体" w:hAnsi="宋体" w:cs="宋体"/>
          <w:color w:val="auto"/>
          <w:sz w:val="24"/>
          <w:lang w:val="en-US" w:eastAsia="zh-CN"/>
        </w:rPr>
        <w:t xml:space="preserve">           (3)项目量化标准</w:t>
      </w:r>
    </w:p>
    <w:p>
      <w:pPr>
        <w:pStyle w:val="2"/>
        <w:rPr>
          <w:rFonts w:hint="eastAsia" w:ascii="宋体" w:hAnsi="宋体" w:cs="宋体"/>
          <w:color w:val="auto"/>
          <w:sz w:val="24"/>
          <w:lang w:val="en-US" w:eastAsia="zh-CN"/>
        </w:rPr>
      </w:pPr>
      <w:r>
        <w:rPr>
          <w:rFonts w:hint="eastAsia" w:ascii="宋体" w:hAnsi="宋体" w:cs="宋体"/>
          <w:color w:val="auto"/>
          <w:sz w:val="24"/>
          <w:lang w:val="en-US" w:eastAsia="zh-CN"/>
        </w:rPr>
        <w:t xml:space="preserve">           (4)服务团队和硬件</w:t>
      </w:r>
      <w:r>
        <w:rPr>
          <w:rFonts w:hint="eastAsia" w:ascii="宋体" w:hAnsi="宋体" w:eastAsia="宋体"/>
          <w:color w:val="auto"/>
          <w:lang w:eastAsia="zh-CN"/>
        </w:rPr>
        <w:t>支持</w:t>
      </w:r>
    </w:p>
    <w:p>
      <w:pPr>
        <w:pStyle w:val="2"/>
        <w:rPr>
          <w:rFonts w:hint="default" w:ascii="宋体" w:hAnsi="宋体" w:cs="宋体"/>
          <w:color w:val="auto"/>
          <w:sz w:val="24"/>
          <w:lang w:val="en-US" w:eastAsia="zh-CN"/>
        </w:rPr>
      </w:pPr>
      <w:r>
        <w:rPr>
          <w:rFonts w:hint="eastAsia" w:ascii="宋体" w:hAnsi="宋体" w:cs="宋体"/>
          <w:color w:val="auto"/>
          <w:sz w:val="24"/>
          <w:lang w:val="en-US" w:eastAsia="zh-CN"/>
        </w:rPr>
        <w:t xml:space="preserve">           (5)增值服务</w:t>
      </w:r>
    </w:p>
    <w:p>
      <w:pPr>
        <w:spacing w:line="540" w:lineRule="exact"/>
        <w:ind w:firstLine="708" w:firstLineChars="295"/>
        <w:rPr>
          <w:rFonts w:ascii="宋体" w:hAnsi="宋体" w:cs="宋体"/>
          <w:color w:val="auto"/>
          <w:sz w:val="24"/>
        </w:rPr>
      </w:pPr>
      <w:r>
        <w:rPr>
          <w:rFonts w:hint="eastAsia" w:ascii="宋体" w:hAnsi="宋体" w:cs="宋体"/>
          <w:color w:val="auto"/>
          <w:sz w:val="24"/>
        </w:rPr>
        <w:t>三、企业业绩及获得荣誉</w:t>
      </w:r>
    </w:p>
    <w:p>
      <w:pPr>
        <w:spacing w:line="540" w:lineRule="exact"/>
        <w:ind w:firstLine="708" w:firstLineChars="295"/>
        <w:rPr>
          <w:rFonts w:ascii="宋体" w:hAnsi="宋体" w:cs="宋体"/>
          <w:color w:val="auto"/>
          <w:sz w:val="24"/>
        </w:rPr>
      </w:pPr>
      <w:r>
        <w:rPr>
          <w:rFonts w:hint="eastAsia" w:ascii="宋体" w:hAnsi="宋体" w:cs="宋体"/>
          <w:color w:val="auto"/>
          <w:sz w:val="24"/>
        </w:rPr>
        <w:t>四、磋商承诺函</w:t>
      </w:r>
    </w:p>
    <w:p>
      <w:pPr>
        <w:spacing w:line="540" w:lineRule="exact"/>
        <w:ind w:firstLine="708" w:firstLineChars="295"/>
        <w:rPr>
          <w:rFonts w:ascii="宋体" w:hAnsi="宋体" w:cs="宋体"/>
          <w:color w:val="auto"/>
          <w:sz w:val="24"/>
        </w:rPr>
      </w:pPr>
      <w:r>
        <w:rPr>
          <w:rFonts w:hint="eastAsia" w:ascii="宋体" w:hAnsi="宋体" w:cs="宋体"/>
          <w:color w:val="auto"/>
          <w:sz w:val="24"/>
        </w:rPr>
        <w:t>五、资格声明函</w:t>
      </w:r>
    </w:p>
    <w:p>
      <w:pPr>
        <w:spacing w:line="540" w:lineRule="exact"/>
        <w:ind w:firstLine="708" w:firstLineChars="295"/>
        <w:rPr>
          <w:rFonts w:ascii="宋体" w:hAnsi="宋体" w:cs="宋体"/>
          <w:color w:val="auto"/>
          <w:sz w:val="24"/>
        </w:rPr>
      </w:pPr>
      <w:r>
        <w:rPr>
          <w:rFonts w:hint="eastAsia" w:ascii="宋体" w:hAnsi="宋体" w:cs="宋体"/>
          <w:color w:val="auto"/>
          <w:sz w:val="24"/>
        </w:rPr>
        <w:t>六、反商业贿赂承诺书</w:t>
      </w:r>
    </w:p>
    <w:p>
      <w:pPr>
        <w:spacing w:line="540" w:lineRule="exact"/>
        <w:ind w:firstLine="708" w:firstLineChars="295"/>
        <w:rPr>
          <w:rFonts w:hint="eastAsia" w:ascii="宋体" w:hAnsi="宋体" w:eastAsia="宋体" w:cs="宋体"/>
          <w:color w:val="auto"/>
          <w:sz w:val="24"/>
          <w:lang w:eastAsia="zh-CN"/>
        </w:rPr>
      </w:pPr>
      <w:r>
        <w:rPr>
          <w:rFonts w:hint="eastAsia" w:ascii="宋体" w:hAnsi="宋体" w:cs="宋体"/>
          <w:color w:val="auto"/>
          <w:sz w:val="24"/>
          <w:lang w:eastAsia="zh-CN"/>
        </w:rPr>
        <w:t>七</w:t>
      </w:r>
      <w:r>
        <w:rPr>
          <w:rFonts w:hint="eastAsia" w:ascii="宋体" w:hAnsi="宋体" w:cs="宋体"/>
          <w:color w:val="auto"/>
          <w:sz w:val="24"/>
        </w:rPr>
        <w:t>、</w:t>
      </w:r>
      <w:r>
        <w:rPr>
          <w:rFonts w:hint="eastAsia" w:ascii="宋体" w:hAnsi="宋体" w:cs="宋体"/>
          <w:color w:val="auto"/>
          <w:sz w:val="24"/>
          <w:lang w:eastAsia="zh-CN"/>
        </w:rPr>
        <w:t>保证金</w:t>
      </w:r>
    </w:p>
    <w:p>
      <w:pPr>
        <w:spacing w:line="540" w:lineRule="exact"/>
        <w:ind w:firstLine="708" w:firstLineChars="295"/>
        <w:rPr>
          <w:rFonts w:ascii="宋体" w:hAnsi="宋体" w:cs="宋体"/>
          <w:color w:val="auto"/>
          <w:sz w:val="24"/>
        </w:rPr>
      </w:pPr>
      <w:r>
        <w:rPr>
          <w:rFonts w:hint="eastAsia" w:ascii="宋体" w:hAnsi="宋体" w:cs="宋体"/>
          <w:color w:val="auto"/>
          <w:sz w:val="24"/>
          <w:lang w:eastAsia="zh-CN"/>
        </w:rPr>
        <w:t>八、</w:t>
      </w:r>
      <w:r>
        <w:rPr>
          <w:rFonts w:hint="eastAsia" w:ascii="宋体" w:hAnsi="宋体" w:cs="宋体"/>
          <w:color w:val="auto"/>
          <w:sz w:val="24"/>
        </w:rPr>
        <w:t>其他资料</w:t>
      </w:r>
    </w:p>
    <w:p>
      <w:pPr>
        <w:spacing w:line="540" w:lineRule="exact"/>
        <w:rPr>
          <w:rFonts w:ascii="宋体" w:hAnsi="宋体" w:cs="宋体"/>
          <w:color w:val="auto"/>
        </w:rPr>
      </w:pPr>
    </w:p>
    <w:p>
      <w:pPr>
        <w:spacing w:line="540" w:lineRule="exact"/>
        <w:rPr>
          <w:rFonts w:ascii="宋体" w:hAnsi="宋体" w:cs="宋体"/>
          <w:color w:val="auto"/>
        </w:rPr>
      </w:pPr>
    </w:p>
    <w:p>
      <w:pPr>
        <w:spacing w:line="540" w:lineRule="exact"/>
        <w:rPr>
          <w:rFonts w:ascii="宋体" w:hAnsi="宋体" w:cs="宋体"/>
          <w:color w:val="auto"/>
        </w:rPr>
      </w:pPr>
    </w:p>
    <w:p>
      <w:pPr>
        <w:spacing w:line="540" w:lineRule="exact"/>
        <w:rPr>
          <w:rFonts w:ascii="宋体" w:hAnsi="宋体" w:cs="宋体"/>
          <w:color w:val="auto"/>
        </w:rPr>
      </w:pPr>
    </w:p>
    <w:p>
      <w:pPr>
        <w:spacing w:line="540" w:lineRule="exact"/>
        <w:rPr>
          <w:rFonts w:ascii="宋体" w:hAnsi="宋体" w:cs="宋体"/>
          <w:color w:val="auto"/>
        </w:rPr>
      </w:pPr>
    </w:p>
    <w:p>
      <w:pPr>
        <w:spacing w:line="540" w:lineRule="exact"/>
        <w:rPr>
          <w:rFonts w:ascii="宋体" w:hAnsi="宋体" w:cs="宋体"/>
          <w:color w:val="auto"/>
        </w:rPr>
      </w:pPr>
    </w:p>
    <w:p>
      <w:pPr>
        <w:spacing w:line="540" w:lineRule="exact"/>
        <w:rPr>
          <w:rFonts w:ascii="宋体" w:hAnsi="宋体" w:cs="宋体"/>
          <w:color w:val="auto"/>
        </w:rPr>
      </w:pPr>
    </w:p>
    <w:p>
      <w:pPr>
        <w:spacing w:line="540" w:lineRule="exact"/>
        <w:rPr>
          <w:rFonts w:ascii="宋体" w:hAnsi="宋体" w:cs="宋体"/>
          <w:color w:val="auto"/>
        </w:rPr>
      </w:pPr>
    </w:p>
    <w:p>
      <w:pPr>
        <w:spacing w:line="540" w:lineRule="exact"/>
        <w:rPr>
          <w:rFonts w:ascii="宋体" w:hAnsi="宋体" w:cs="宋体"/>
          <w:color w:val="auto"/>
          <w:sz w:val="20"/>
          <w:szCs w:val="20"/>
        </w:rPr>
      </w:pPr>
    </w:p>
    <w:p>
      <w:pPr>
        <w:spacing w:line="540" w:lineRule="exact"/>
        <w:rPr>
          <w:rFonts w:ascii="宋体" w:hAnsi="宋体" w:cs="宋体"/>
          <w:color w:val="auto"/>
          <w:sz w:val="20"/>
          <w:szCs w:val="20"/>
        </w:rPr>
      </w:pPr>
    </w:p>
    <w:p>
      <w:pPr>
        <w:spacing w:line="540" w:lineRule="exact"/>
        <w:rPr>
          <w:rFonts w:ascii="宋体" w:hAnsi="宋体" w:cs="宋体"/>
          <w:color w:val="auto"/>
          <w:sz w:val="20"/>
          <w:szCs w:val="20"/>
        </w:rPr>
      </w:pPr>
    </w:p>
    <w:p>
      <w:pPr>
        <w:spacing w:line="540" w:lineRule="exact"/>
        <w:rPr>
          <w:rFonts w:ascii="宋体" w:hAnsi="宋体" w:cs="宋体"/>
          <w:color w:val="auto"/>
          <w:sz w:val="20"/>
          <w:szCs w:val="20"/>
        </w:rPr>
      </w:pPr>
    </w:p>
    <w:p>
      <w:pPr>
        <w:pStyle w:val="4"/>
        <w:jc w:val="center"/>
        <w:rPr>
          <w:rFonts w:ascii="宋体" w:hAnsi="宋体" w:eastAsia="宋体"/>
          <w:color w:val="auto"/>
        </w:rPr>
      </w:pPr>
      <w:bookmarkStart w:id="703" w:name="_Toc152045788"/>
      <w:bookmarkStart w:id="704" w:name="_Toc144974857"/>
      <w:bookmarkStart w:id="705" w:name="_Toc152042577"/>
      <w:bookmarkStart w:id="706" w:name="_Toc466298158"/>
      <w:bookmarkStart w:id="707" w:name="_Toc22114898"/>
      <w:r>
        <w:rPr>
          <w:rFonts w:hint="eastAsia" w:ascii="宋体" w:hAnsi="宋体" w:eastAsia="宋体"/>
          <w:color w:val="auto"/>
        </w:rPr>
        <w:t>一、磋商函及</w:t>
      </w:r>
      <w:bookmarkEnd w:id="703"/>
      <w:bookmarkEnd w:id="704"/>
      <w:bookmarkEnd w:id="705"/>
      <w:r>
        <w:rPr>
          <w:rFonts w:hint="eastAsia" w:ascii="宋体" w:hAnsi="宋体" w:eastAsia="宋体"/>
          <w:color w:val="auto"/>
        </w:rPr>
        <w:t>磋商函附录</w:t>
      </w:r>
      <w:bookmarkEnd w:id="706"/>
      <w:bookmarkEnd w:id="707"/>
    </w:p>
    <w:p>
      <w:pPr>
        <w:jc w:val="center"/>
        <w:rPr>
          <w:b/>
          <w:color w:val="auto"/>
          <w:sz w:val="28"/>
          <w:szCs w:val="28"/>
        </w:rPr>
      </w:pPr>
      <w:bookmarkStart w:id="708" w:name="_Toc152042578"/>
      <w:bookmarkStart w:id="709" w:name="_Toc144974858"/>
      <w:bookmarkStart w:id="710" w:name="_Toc152045789"/>
      <w:bookmarkStart w:id="711" w:name="_Toc8915"/>
      <w:bookmarkStart w:id="712" w:name="_Toc455080170"/>
      <w:bookmarkStart w:id="713" w:name="_Toc23888"/>
      <w:bookmarkStart w:id="714" w:name="_Toc318450744"/>
      <w:bookmarkStart w:id="715" w:name="_Toc485131213"/>
      <w:bookmarkStart w:id="716" w:name="_Toc466298159"/>
      <w:bookmarkStart w:id="717" w:name="_Toc30581"/>
      <w:bookmarkStart w:id="718" w:name="_Toc455867830"/>
      <w:bookmarkStart w:id="719" w:name="_Toc18705"/>
      <w:bookmarkStart w:id="720" w:name="_Toc11855"/>
      <w:bookmarkStart w:id="721" w:name="_Toc26262"/>
      <w:r>
        <w:rPr>
          <w:rFonts w:hint="eastAsia"/>
          <w:b/>
          <w:color w:val="auto"/>
          <w:sz w:val="28"/>
          <w:szCs w:val="28"/>
        </w:rPr>
        <w:t>（一）磋商函</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pPr>
        <w:spacing w:line="500" w:lineRule="exact"/>
        <w:rPr>
          <w:rFonts w:ascii="宋体" w:hAnsi="宋体"/>
          <w:b/>
          <w:color w:val="auto"/>
          <w:sz w:val="24"/>
          <w:u w:val="single"/>
        </w:rPr>
      </w:pPr>
      <w:r>
        <w:rPr>
          <w:rFonts w:hint="eastAsia" w:ascii="宋体" w:hAnsi="宋体"/>
          <w:b/>
          <w:color w:val="auto"/>
          <w:sz w:val="24"/>
        </w:rPr>
        <w:t>致：（采购人）</w:t>
      </w:r>
    </w:p>
    <w:p>
      <w:pPr>
        <w:spacing w:line="500" w:lineRule="exact"/>
        <w:ind w:firstLine="480" w:firstLineChars="200"/>
        <w:rPr>
          <w:rFonts w:ascii="宋体" w:hAnsi="宋体"/>
          <w:color w:val="auto"/>
          <w:sz w:val="24"/>
        </w:rPr>
      </w:pPr>
      <w:r>
        <w:rPr>
          <w:rFonts w:hint="eastAsia" w:ascii="宋体" w:hAnsi="宋体"/>
          <w:color w:val="auto"/>
          <w:sz w:val="24"/>
        </w:rPr>
        <w:t>根据贵方的竞争性磋商文件，签字代表</w:t>
      </w:r>
      <w:r>
        <w:rPr>
          <w:rFonts w:hint="eastAsia" w:ascii="宋体" w:hAnsi="宋体"/>
          <w:color w:val="auto"/>
          <w:sz w:val="24"/>
          <w:u w:val="single"/>
        </w:rPr>
        <w:t xml:space="preserve">            </w:t>
      </w:r>
      <w:r>
        <w:rPr>
          <w:rFonts w:hint="eastAsia" w:ascii="宋体" w:hAnsi="宋体"/>
          <w:color w:val="auto"/>
          <w:sz w:val="24"/>
        </w:rPr>
        <w:t>（全名、职务）经正式授权并代表供应商</w:t>
      </w:r>
      <w:r>
        <w:rPr>
          <w:rFonts w:hint="eastAsia" w:ascii="宋体" w:hAnsi="宋体"/>
          <w:color w:val="auto"/>
          <w:sz w:val="24"/>
          <w:u w:val="single"/>
        </w:rPr>
        <w:t xml:space="preserve">                       </w:t>
      </w:r>
      <w:r>
        <w:rPr>
          <w:rFonts w:hint="eastAsia" w:ascii="宋体" w:hAnsi="宋体"/>
          <w:color w:val="auto"/>
          <w:sz w:val="24"/>
        </w:rPr>
        <w:t>（供应商名称、地址）提交下述文件，并对此负法律责任。</w:t>
      </w:r>
    </w:p>
    <w:p>
      <w:pPr>
        <w:spacing w:line="540" w:lineRule="exact"/>
        <w:ind w:firstLine="708" w:firstLineChars="295"/>
        <w:rPr>
          <w:rFonts w:ascii="宋体" w:hAnsi="宋体" w:cs="宋体"/>
          <w:color w:val="auto"/>
          <w:sz w:val="24"/>
        </w:rPr>
      </w:pPr>
      <w:r>
        <w:rPr>
          <w:rFonts w:hint="eastAsia" w:ascii="宋体" w:hAnsi="宋体" w:cs="宋体"/>
          <w:color w:val="auto"/>
          <w:sz w:val="24"/>
        </w:rPr>
        <w:t>一、磋商函及磋商函附录</w:t>
      </w:r>
    </w:p>
    <w:p>
      <w:pPr>
        <w:spacing w:line="540" w:lineRule="exact"/>
        <w:ind w:firstLine="708" w:firstLineChars="295"/>
        <w:rPr>
          <w:rFonts w:hint="eastAsia" w:ascii="宋体" w:hAnsi="宋体" w:cs="宋体"/>
          <w:color w:val="auto"/>
          <w:sz w:val="24"/>
        </w:rPr>
      </w:pPr>
      <w:r>
        <w:rPr>
          <w:rFonts w:hint="eastAsia" w:ascii="宋体" w:hAnsi="宋体" w:cs="宋体"/>
          <w:color w:val="auto"/>
          <w:sz w:val="24"/>
        </w:rPr>
        <w:t>二、项目方案及服务承诺</w:t>
      </w:r>
    </w:p>
    <w:p>
      <w:pPr>
        <w:pStyle w:val="2"/>
        <w:rPr>
          <w:rFonts w:hint="eastAsia" w:ascii="宋体" w:hAnsi="宋体" w:cs="宋体"/>
          <w:color w:val="auto"/>
          <w:sz w:val="24"/>
          <w:lang w:val="en-US" w:eastAsia="zh-CN"/>
        </w:rPr>
      </w:pPr>
      <w:r>
        <w:rPr>
          <w:rFonts w:hint="eastAsia" w:ascii="宋体" w:hAnsi="宋体" w:cs="宋体"/>
          <w:color w:val="auto"/>
          <w:sz w:val="24"/>
          <w:lang w:val="en-US" w:eastAsia="zh-CN"/>
        </w:rPr>
        <w:t xml:space="preserve">          （1）项目方案框架</w:t>
      </w:r>
    </w:p>
    <w:p>
      <w:pPr>
        <w:pStyle w:val="2"/>
        <w:rPr>
          <w:rFonts w:hint="eastAsia" w:ascii="宋体" w:hAnsi="宋体" w:cs="宋体"/>
          <w:color w:val="auto"/>
          <w:sz w:val="24"/>
          <w:lang w:val="en-US" w:eastAsia="zh-CN"/>
        </w:rPr>
      </w:pPr>
      <w:r>
        <w:rPr>
          <w:rFonts w:hint="eastAsia" w:ascii="宋体" w:hAnsi="宋体" w:cs="宋体"/>
          <w:color w:val="auto"/>
          <w:sz w:val="24"/>
          <w:lang w:val="en-US" w:eastAsia="zh-CN"/>
        </w:rPr>
        <w:t xml:space="preserve">           (2)项目工作计划</w:t>
      </w:r>
    </w:p>
    <w:p>
      <w:pPr>
        <w:pStyle w:val="2"/>
        <w:rPr>
          <w:rFonts w:hint="eastAsia" w:ascii="宋体" w:hAnsi="宋体" w:cs="宋体"/>
          <w:color w:val="auto"/>
          <w:sz w:val="24"/>
          <w:lang w:val="en-US" w:eastAsia="zh-CN"/>
        </w:rPr>
      </w:pPr>
      <w:r>
        <w:rPr>
          <w:rFonts w:hint="eastAsia" w:ascii="宋体" w:hAnsi="宋体" w:cs="宋体"/>
          <w:color w:val="auto"/>
          <w:sz w:val="24"/>
          <w:lang w:val="en-US" w:eastAsia="zh-CN"/>
        </w:rPr>
        <w:t xml:space="preserve">           (3)项目量化标准</w:t>
      </w:r>
    </w:p>
    <w:p>
      <w:pPr>
        <w:pStyle w:val="2"/>
        <w:rPr>
          <w:rFonts w:hint="eastAsia" w:ascii="宋体" w:hAnsi="宋体" w:cs="宋体"/>
          <w:color w:val="auto"/>
          <w:sz w:val="24"/>
          <w:lang w:val="en-US" w:eastAsia="zh-CN"/>
        </w:rPr>
      </w:pPr>
      <w:r>
        <w:rPr>
          <w:rFonts w:hint="eastAsia" w:ascii="宋体" w:hAnsi="宋体" w:cs="宋体"/>
          <w:color w:val="auto"/>
          <w:sz w:val="24"/>
          <w:lang w:val="en-US" w:eastAsia="zh-CN"/>
        </w:rPr>
        <w:t xml:space="preserve">           (4)服务团队和硬件</w:t>
      </w:r>
      <w:r>
        <w:rPr>
          <w:rFonts w:hint="eastAsia" w:ascii="宋体" w:hAnsi="宋体" w:eastAsia="宋体"/>
          <w:color w:val="auto"/>
          <w:lang w:eastAsia="zh-CN"/>
        </w:rPr>
        <w:t>支持</w:t>
      </w:r>
    </w:p>
    <w:p>
      <w:pPr>
        <w:pStyle w:val="2"/>
        <w:rPr>
          <w:rFonts w:hint="default" w:ascii="宋体" w:hAnsi="宋体" w:cs="宋体"/>
          <w:color w:val="auto"/>
          <w:sz w:val="24"/>
          <w:lang w:val="en-US" w:eastAsia="zh-CN"/>
        </w:rPr>
      </w:pPr>
      <w:r>
        <w:rPr>
          <w:rFonts w:hint="eastAsia" w:ascii="宋体" w:hAnsi="宋体" w:cs="宋体"/>
          <w:color w:val="auto"/>
          <w:sz w:val="24"/>
          <w:lang w:val="en-US" w:eastAsia="zh-CN"/>
        </w:rPr>
        <w:t xml:space="preserve">           (5)增值服务</w:t>
      </w:r>
    </w:p>
    <w:p>
      <w:pPr>
        <w:spacing w:line="540" w:lineRule="exact"/>
        <w:ind w:firstLine="708" w:firstLineChars="295"/>
        <w:rPr>
          <w:rFonts w:ascii="宋体" w:hAnsi="宋体" w:cs="宋体"/>
          <w:color w:val="auto"/>
          <w:sz w:val="24"/>
        </w:rPr>
      </w:pPr>
      <w:r>
        <w:rPr>
          <w:rFonts w:hint="eastAsia" w:ascii="宋体" w:hAnsi="宋体" w:cs="宋体"/>
          <w:color w:val="auto"/>
          <w:sz w:val="24"/>
        </w:rPr>
        <w:t>三、企业业绩及获得荣誉</w:t>
      </w:r>
    </w:p>
    <w:p>
      <w:pPr>
        <w:spacing w:line="540" w:lineRule="exact"/>
        <w:ind w:firstLine="708" w:firstLineChars="295"/>
        <w:rPr>
          <w:rFonts w:ascii="宋体" w:hAnsi="宋体" w:cs="宋体"/>
          <w:color w:val="auto"/>
          <w:sz w:val="24"/>
        </w:rPr>
      </w:pPr>
      <w:r>
        <w:rPr>
          <w:rFonts w:hint="eastAsia" w:ascii="宋体" w:hAnsi="宋体" w:cs="宋体"/>
          <w:color w:val="auto"/>
          <w:sz w:val="24"/>
        </w:rPr>
        <w:t>四、磋商承诺函</w:t>
      </w:r>
    </w:p>
    <w:p>
      <w:pPr>
        <w:spacing w:line="540" w:lineRule="exact"/>
        <w:ind w:firstLine="708" w:firstLineChars="295"/>
        <w:rPr>
          <w:rFonts w:ascii="宋体" w:hAnsi="宋体" w:cs="宋体"/>
          <w:color w:val="auto"/>
          <w:sz w:val="24"/>
        </w:rPr>
      </w:pPr>
      <w:r>
        <w:rPr>
          <w:rFonts w:hint="eastAsia" w:ascii="宋体" w:hAnsi="宋体" w:cs="宋体"/>
          <w:color w:val="auto"/>
          <w:sz w:val="24"/>
        </w:rPr>
        <w:t>五、资格声明函</w:t>
      </w:r>
    </w:p>
    <w:p>
      <w:pPr>
        <w:spacing w:line="540" w:lineRule="exact"/>
        <w:ind w:firstLine="708" w:firstLineChars="295"/>
        <w:rPr>
          <w:rFonts w:ascii="宋体" w:hAnsi="宋体" w:cs="宋体"/>
          <w:color w:val="auto"/>
          <w:sz w:val="24"/>
        </w:rPr>
      </w:pPr>
      <w:r>
        <w:rPr>
          <w:rFonts w:hint="eastAsia" w:ascii="宋体" w:hAnsi="宋体" w:cs="宋体"/>
          <w:color w:val="auto"/>
          <w:sz w:val="24"/>
        </w:rPr>
        <w:t>六、反商业贿赂承诺书</w:t>
      </w:r>
    </w:p>
    <w:p>
      <w:pPr>
        <w:spacing w:line="540" w:lineRule="exact"/>
        <w:ind w:firstLine="708" w:firstLineChars="295"/>
        <w:rPr>
          <w:rFonts w:hint="eastAsia" w:ascii="宋体" w:hAnsi="宋体" w:cs="宋体"/>
          <w:color w:val="auto"/>
          <w:sz w:val="24"/>
        </w:rPr>
      </w:pPr>
      <w:r>
        <w:rPr>
          <w:rFonts w:hint="eastAsia" w:ascii="宋体" w:hAnsi="宋体" w:cs="宋体"/>
          <w:color w:val="auto"/>
          <w:sz w:val="24"/>
          <w:lang w:eastAsia="zh-CN"/>
        </w:rPr>
        <w:t>七</w:t>
      </w:r>
      <w:r>
        <w:rPr>
          <w:rFonts w:hint="eastAsia" w:ascii="宋体" w:hAnsi="宋体" w:cs="宋体"/>
          <w:color w:val="auto"/>
          <w:sz w:val="24"/>
        </w:rPr>
        <w:t>、中小微企业声明函</w:t>
      </w:r>
    </w:p>
    <w:p>
      <w:pPr>
        <w:spacing w:line="540" w:lineRule="exact"/>
        <w:ind w:left="0" w:leftChars="0" w:firstLine="638" w:firstLineChars="304"/>
        <w:rPr>
          <w:rFonts w:hint="eastAsia" w:ascii="宋体" w:hAnsi="宋体" w:eastAsia="宋体" w:cs="宋体"/>
          <w:color w:val="auto"/>
          <w:sz w:val="24"/>
          <w:lang w:eastAsia="zh-CN"/>
        </w:rPr>
      </w:pPr>
      <w:r>
        <w:rPr>
          <w:rFonts w:hint="eastAsia"/>
          <w:color w:val="auto"/>
          <w:lang w:eastAsia="zh-CN"/>
        </w:rPr>
        <w:t>八、</w:t>
      </w:r>
      <w:r>
        <w:rPr>
          <w:rFonts w:hint="eastAsia" w:ascii="宋体" w:hAnsi="宋体" w:cs="宋体"/>
          <w:color w:val="auto"/>
          <w:sz w:val="24"/>
          <w:lang w:eastAsia="zh-CN"/>
        </w:rPr>
        <w:t>保证金</w:t>
      </w:r>
    </w:p>
    <w:p>
      <w:pPr>
        <w:spacing w:line="540" w:lineRule="exact"/>
        <w:ind w:firstLine="708" w:firstLineChars="295"/>
        <w:rPr>
          <w:rFonts w:ascii="宋体" w:hAnsi="宋体" w:cs="宋体"/>
          <w:color w:val="auto"/>
          <w:sz w:val="24"/>
        </w:rPr>
      </w:pPr>
      <w:r>
        <w:rPr>
          <w:rFonts w:hint="eastAsia" w:ascii="宋体" w:hAnsi="宋体" w:cs="宋体"/>
          <w:color w:val="auto"/>
          <w:sz w:val="24"/>
          <w:lang w:eastAsia="zh-CN"/>
        </w:rPr>
        <w:t>九、</w:t>
      </w:r>
      <w:r>
        <w:rPr>
          <w:rFonts w:hint="eastAsia" w:ascii="宋体" w:hAnsi="宋体" w:cs="宋体"/>
          <w:color w:val="auto"/>
          <w:sz w:val="24"/>
        </w:rPr>
        <w:t>其他资料</w:t>
      </w:r>
    </w:p>
    <w:p>
      <w:pPr>
        <w:spacing w:line="500" w:lineRule="exact"/>
        <w:rPr>
          <w:rFonts w:ascii="宋体" w:hAnsi="宋体"/>
          <w:color w:val="auto"/>
          <w:sz w:val="24"/>
        </w:rPr>
      </w:pPr>
      <w:r>
        <w:rPr>
          <w:rFonts w:hint="eastAsia" w:ascii="宋体" w:hAnsi="宋体"/>
          <w:color w:val="auto"/>
          <w:sz w:val="24"/>
        </w:rPr>
        <w:t>根据此函，签字代表宣布同意如下：</w:t>
      </w:r>
    </w:p>
    <w:p>
      <w:pPr>
        <w:spacing w:line="500" w:lineRule="exact"/>
        <w:ind w:firstLine="480" w:firstLineChars="200"/>
        <w:jc w:val="left"/>
        <w:rPr>
          <w:rFonts w:ascii="宋体" w:hAnsi="宋体"/>
          <w:color w:val="auto"/>
          <w:sz w:val="24"/>
        </w:rPr>
      </w:pPr>
      <w:r>
        <w:rPr>
          <w:rFonts w:hint="eastAsia" w:ascii="宋体" w:hAnsi="宋体"/>
          <w:color w:val="auto"/>
          <w:sz w:val="24"/>
        </w:rPr>
        <w:t>1、所附投标报价表中规定的应提供和交付的全部服务，投标总报价为人民币</w:t>
      </w:r>
      <w:r>
        <w:rPr>
          <w:rFonts w:hint="eastAsia" w:ascii="宋体" w:hAnsi="宋体"/>
          <w:color w:val="auto"/>
          <w:sz w:val="24"/>
          <w:u w:val="single"/>
        </w:rPr>
        <w:t xml:space="preserve">           </w:t>
      </w:r>
      <w:r>
        <w:rPr>
          <w:rFonts w:hint="eastAsia" w:ascii="宋体" w:hAnsi="宋体"/>
          <w:color w:val="auto"/>
          <w:sz w:val="24"/>
        </w:rPr>
        <w:t>，</w:t>
      </w:r>
      <w:r>
        <w:rPr>
          <w:color w:val="auto"/>
          <w:sz w:val="24"/>
        </w:rPr>
        <w:t>（小写：</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元</w:t>
      </w:r>
      <w:r>
        <w:rPr>
          <w:color w:val="auto"/>
          <w:sz w:val="24"/>
        </w:rPr>
        <w:t>）</w:t>
      </w:r>
      <w:r>
        <w:rPr>
          <w:rFonts w:hint="eastAsia" w:ascii="宋体" w:hAnsi="宋体"/>
          <w:color w:val="auto"/>
          <w:sz w:val="24"/>
        </w:rPr>
        <w:t>。</w:t>
      </w:r>
      <w:r>
        <w:rPr>
          <w:rFonts w:hint="eastAsia" w:ascii="宋体" w:hAnsi="宋体"/>
          <w:color w:val="auto"/>
          <w:sz w:val="24"/>
          <w:lang w:eastAsia="zh-CN"/>
        </w:rPr>
        <w:t>服务期限</w:t>
      </w:r>
      <w:r>
        <w:rPr>
          <w:rFonts w:hint="eastAsia" w:ascii="宋体" w:hAnsi="宋体"/>
          <w:color w:val="auto"/>
          <w:sz w:val="24"/>
        </w:rPr>
        <w:t>为</w:t>
      </w:r>
      <w:r>
        <w:rPr>
          <w:rFonts w:hint="eastAsia" w:ascii="宋体" w:hAnsi="宋体"/>
          <w:color w:val="auto"/>
          <w:sz w:val="24"/>
          <w:u w:val="single"/>
        </w:rPr>
        <w:t xml:space="preserve">        </w:t>
      </w:r>
      <w:r>
        <w:rPr>
          <w:rFonts w:hint="eastAsia" w:ascii="宋体" w:hAnsi="宋体"/>
          <w:color w:val="auto"/>
          <w:sz w:val="24"/>
        </w:rPr>
        <w:t>。</w:t>
      </w:r>
    </w:p>
    <w:p>
      <w:pPr>
        <w:spacing w:line="500" w:lineRule="exact"/>
        <w:ind w:firstLine="480" w:firstLineChars="200"/>
        <w:rPr>
          <w:rFonts w:ascii="宋体" w:hAnsi="宋体"/>
          <w:color w:val="auto"/>
          <w:sz w:val="24"/>
        </w:rPr>
      </w:pPr>
      <w:r>
        <w:rPr>
          <w:rFonts w:hint="eastAsia" w:ascii="宋体" w:hAnsi="宋体"/>
          <w:color w:val="auto"/>
          <w:sz w:val="24"/>
        </w:rPr>
        <w:t>2、如果我们的响应文件被接受，我们将按《中华人民共和国合同法》和本竞争性磋商文件的规定签订并严格履行合同中的责任和义务。</w:t>
      </w:r>
    </w:p>
    <w:p>
      <w:pPr>
        <w:spacing w:line="500" w:lineRule="exact"/>
        <w:ind w:firstLine="480" w:firstLineChars="200"/>
        <w:rPr>
          <w:rFonts w:ascii="宋体" w:hAnsi="宋体"/>
          <w:color w:val="auto"/>
          <w:sz w:val="24"/>
        </w:rPr>
      </w:pPr>
      <w:r>
        <w:rPr>
          <w:rFonts w:hint="eastAsia" w:ascii="宋体" w:hAnsi="宋体"/>
          <w:color w:val="auto"/>
          <w:sz w:val="24"/>
        </w:rPr>
        <w:t>3、我们详细审查了竞争性磋商文件，包括修改文件以及全部参考资料和有关附件，我们完全理解并同意放弃对这方面有不明及误解的权力。</w:t>
      </w:r>
    </w:p>
    <w:p>
      <w:pPr>
        <w:spacing w:line="500" w:lineRule="exact"/>
        <w:ind w:firstLine="480" w:firstLineChars="200"/>
        <w:rPr>
          <w:rFonts w:ascii="宋体" w:hAnsi="宋体"/>
          <w:color w:val="auto"/>
          <w:sz w:val="24"/>
        </w:rPr>
      </w:pPr>
      <w:r>
        <w:rPr>
          <w:rFonts w:hint="eastAsia" w:ascii="宋体" w:hAnsi="宋体"/>
          <w:color w:val="auto"/>
          <w:sz w:val="24"/>
        </w:rPr>
        <w:t>4、本投标自开标日起有效期为60个日历天。</w:t>
      </w:r>
    </w:p>
    <w:p>
      <w:pPr>
        <w:spacing w:line="500" w:lineRule="exact"/>
        <w:rPr>
          <w:rFonts w:ascii="宋体" w:hAnsi="宋体"/>
          <w:color w:val="auto"/>
          <w:sz w:val="24"/>
        </w:rPr>
      </w:pPr>
      <w:r>
        <w:rPr>
          <w:rFonts w:hint="eastAsia" w:ascii="宋体" w:hAnsi="宋体"/>
          <w:color w:val="auto"/>
          <w:sz w:val="24"/>
        </w:rPr>
        <w:t xml:space="preserve">    5、如果在规定的开标时间后，我们在投标有效期内撤回投标，同意没收招标保证金。</w:t>
      </w:r>
    </w:p>
    <w:p>
      <w:pPr>
        <w:spacing w:line="500" w:lineRule="exact"/>
        <w:ind w:firstLine="480" w:firstLineChars="200"/>
        <w:rPr>
          <w:rFonts w:ascii="宋体" w:hAnsi="宋体"/>
          <w:color w:val="auto"/>
          <w:sz w:val="24"/>
        </w:rPr>
      </w:pPr>
      <w:r>
        <w:rPr>
          <w:rFonts w:hint="eastAsia" w:ascii="宋体" w:hAnsi="宋体"/>
          <w:color w:val="auto"/>
          <w:sz w:val="24"/>
        </w:rPr>
        <w:t>6、与本投标有关的一切正式往来请寄：</w:t>
      </w:r>
    </w:p>
    <w:p>
      <w:pPr>
        <w:spacing w:line="500" w:lineRule="exact"/>
        <w:ind w:firstLine="720" w:firstLineChars="300"/>
        <w:rPr>
          <w:rFonts w:ascii="宋体" w:hAnsi="宋体"/>
          <w:color w:val="auto"/>
          <w:sz w:val="24"/>
        </w:rPr>
      </w:pPr>
    </w:p>
    <w:p>
      <w:pPr>
        <w:spacing w:line="500" w:lineRule="exact"/>
        <w:ind w:firstLine="720" w:firstLineChars="300"/>
        <w:rPr>
          <w:rFonts w:ascii="宋体" w:hAnsi="宋体"/>
          <w:color w:val="auto"/>
          <w:sz w:val="24"/>
        </w:rPr>
      </w:pPr>
    </w:p>
    <w:p>
      <w:pPr>
        <w:spacing w:line="500" w:lineRule="exact"/>
        <w:ind w:firstLine="720" w:firstLineChars="300"/>
        <w:rPr>
          <w:rFonts w:ascii="宋体" w:hAnsi="宋体"/>
          <w:color w:val="auto"/>
          <w:sz w:val="24"/>
        </w:rPr>
      </w:pPr>
      <w:r>
        <w:rPr>
          <w:rFonts w:hint="eastAsia" w:ascii="宋体" w:hAnsi="宋体"/>
          <w:color w:val="auto"/>
          <w:sz w:val="24"/>
        </w:rPr>
        <w:t>地址：          邮政编码：              电话：          传真：</w:t>
      </w:r>
    </w:p>
    <w:p>
      <w:pPr>
        <w:spacing w:line="500" w:lineRule="exact"/>
        <w:ind w:firstLine="720" w:firstLineChars="300"/>
        <w:rPr>
          <w:rFonts w:ascii="宋体" w:hAnsi="宋体"/>
          <w:color w:val="auto"/>
          <w:sz w:val="24"/>
        </w:rPr>
      </w:pPr>
    </w:p>
    <w:p>
      <w:pPr>
        <w:spacing w:line="500" w:lineRule="exact"/>
        <w:ind w:firstLine="640"/>
        <w:rPr>
          <w:rFonts w:ascii="宋体" w:hAnsi="宋体"/>
          <w:color w:val="auto"/>
          <w:sz w:val="24"/>
        </w:rPr>
      </w:pPr>
      <w:r>
        <w:rPr>
          <w:rFonts w:hint="eastAsia" w:ascii="宋体" w:hAnsi="宋体"/>
          <w:color w:val="auto"/>
          <w:sz w:val="24"/>
        </w:rPr>
        <w:t>法定代表人或其委托代理人姓名、职务：</w:t>
      </w:r>
    </w:p>
    <w:p>
      <w:pPr>
        <w:spacing w:line="500" w:lineRule="exact"/>
        <w:ind w:firstLine="640"/>
        <w:rPr>
          <w:rFonts w:ascii="宋体" w:hAnsi="宋体"/>
          <w:color w:val="auto"/>
          <w:sz w:val="24"/>
        </w:rPr>
      </w:pPr>
    </w:p>
    <w:p>
      <w:pPr>
        <w:spacing w:line="500" w:lineRule="exact"/>
        <w:ind w:firstLine="640"/>
        <w:rPr>
          <w:rFonts w:ascii="宋体" w:hAnsi="宋体"/>
          <w:color w:val="auto"/>
          <w:sz w:val="24"/>
        </w:rPr>
      </w:pPr>
      <w:r>
        <w:rPr>
          <w:rFonts w:hint="eastAsia" w:ascii="宋体" w:hAnsi="宋体"/>
          <w:color w:val="auto"/>
          <w:sz w:val="24"/>
        </w:rPr>
        <w:t>供应商名称：（盖单位公章）</w:t>
      </w:r>
    </w:p>
    <w:p>
      <w:pPr>
        <w:spacing w:line="500" w:lineRule="exact"/>
        <w:ind w:firstLine="640"/>
        <w:rPr>
          <w:rFonts w:ascii="宋体" w:hAnsi="宋体"/>
          <w:color w:val="auto"/>
          <w:sz w:val="24"/>
        </w:rPr>
      </w:pPr>
    </w:p>
    <w:p>
      <w:pPr>
        <w:spacing w:line="500" w:lineRule="exact"/>
        <w:ind w:firstLine="640"/>
        <w:rPr>
          <w:rFonts w:ascii="宋体" w:hAnsi="宋体"/>
          <w:color w:val="auto"/>
          <w:sz w:val="24"/>
        </w:rPr>
      </w:pPr>
      <w:r>
        <w:rPr>
          <w:rFonts w:hint="eastAsia" w:ascii="宋体" w:hAnsi="宋体"/>
          <w:color w:val="auto"/>
          <w:sz w:val="24"/>
        </w:rPr>
        <w:t>法定代表人或其委托代理人：（签字或盖章）</w:t>
      </w:r>
    </w:p>
    <w:p>
      <w:pPr>
        <w:spacing w:line="500" w:lineRule="exact"/>
        <w:ind w:firstLine="640"/>
        <w:rPr>
          <w:rFonts w:ascii="宋体" w:hAnsi="宋体"/>
          <w:color w:val="auto"/>
          <w:sz w:val="24"/>
        </w:rPr>
      </w:pPr>
    </w:p>
    <w:p>
      <w:pPr>
        <w:spacing w:line="500" w:lineRule="exact"/>
        <w:ind w:firstLine="640"/>
        <w:rPr>
          <w:rFonts w:ascii="宋体" w:hAnsi="宋体"/>
          <w:color w:val="auto"/>
          <w:sz w:val="24"/>
        </w:rPr>
      </w:pPr>
    </w:p>
    <w:p>
      <w:pPr>
        <w:spacing w:line="500" w:lineRule="exact"/>
        <w:ind w:firstLine="640"/>
        <w:rPr>
          <w:rFonts w:ascii="宋体" w:hAnsi="宋体"/>
          <w:color w:val="auto"/>
          <w:sz w:val="24"/>
        </w:rPr>
      </w:pPr>
      <w:r>
        <w:rPr>
          <w:rFonts w:hint="eastAsia" w:ascii="宋体" w:hAnsi="宋体"/>
          <w:color w:val="auto"/>
          <w:sz w:val="24"/>
        </w:rPr>
        <w:t>日期：   年  月  日</w:t>
      </w:r>
    </w:p>
    <w:p>
      <w:pPr>
        <w:spacing w:line="500" w:lineRule="exact"/>
        <w:ind w:firstLine="640"/>
        <w:rPr>
          <w:rFonts w:ascii="宋体" w:hAnsi="宋体"/>
          <w:color w:val="auto"/>
          <w:sz w:val="24"/>
        </w:rPr>
      </w:pPr>
    </w:p>
    <w:p>
      <w:pPr>
        <w:spacing w:line="400" w:lineRule="exact"/>
        <w:ind w:firstLine="640"/>
        <w:rPr>
          <w:rFonts w:ascii="宋体" w:hAnsi="宋体"/>
          <w:color w:val="auto"/>
          <w:sz w:val="24"/>
        </w:rPr>
      </w:pPr>
      <w:r>
        <w:rPr>
          <w:rFonts w:ascii="宋体" w:hAnsi="宋体"/>
          <w:color w:val="auto"/>
          <w:sz w:val="24"/>
        </w:rPr>
        <w:br w:type="page"/>
      </w:r>
    </w:p>
    <w:p>
      <w:pPr>
        <w:jc w:val="center"/>
        <w:rPr>
          <w:b/>
          <w:color w:val="auto"/>
          <w:sz w:val="28"/>
          <w:szCs w:val="28"/>
        </w:rPr>
      </w:pPr>
      <w:bookmarkStart w:id="722" w:name="_Toc485131214"/>
      <w:r>
        <w:rPr>
          <w:rFonts w:hint="eastAsia"/>
          <w:b/>
          <w:color w:val="auto"/>
          <w:sz w:val="28"/>
          <w:szCs w:val="28"/>
        </w:rPr>
        <w:t>（二）磋商函附录</w:t>
      </w:r>
      <w:bookmarkEnd w:id="722"/>
    </w:p>
    <w:p>
      <w:pPr>
        <w:rPr>
          <w:rFonts w:ascii="宋体" w:hAnsi="宋体"/>
          <w:color w:val="auto"/>
          <w:sz w:val="24"/>
        </w:rPr>
      </w:pPr>
      <w:r>
        <w:rPr>
          <w:rFonts w:hint="eastAsia" w:ascii="宋体" w:hAnsi="宋体"/>
          <w:color w:val="auto"/>
          <w:sz w:val="24"/>
        </w:rPr>
        <w:t>供应商</w:t>
      </w:r>
      <w:r>
        <w:rPr>
          <w:rFonts w:ascii="宋体" w:hAnsi="宋体"/>
          <w:color w:val="auto"/>
          <w:sz w:val="24"/>
        </w:rPr>
        <w:t>名称</w:t>
      </w:r>
      <w:r>
        <w:rPr>
          <w:rFonts w:hint="eastAsia" w:ascii="宋体" w:hAnsi="宋体"/>
          <w:color w:val="auto"/>
          <w:sz w:val="24"/>
        </w:rPr>
        <w:t>：</w:t>
      </w:r>
    </w:p>
    <w:p>
      <w:pPr>
        <w:rPr>
          <w:rFonts w:ascii="宋体" w:hAnsi="宋体"/>
          <w:color w:val="auto"/>
          <w:sz w:val="24"/>
        </w:rPr>
      </w:pPr>
      <w:r>
        <w:rPr>
          <w:rFonts w:hint="eastAsia" w:ascii="宋体" w:hAnsi="宋体"/>
          <w:color w:val="auto"/>
          <w:sz w:val="24"/>
        </w:rPr>
        <w:t>采购</w:t>
      </w:r>
      <w:r>
        <w:rPr>
          <w:rFonts w:ascii="宋体" w:hAnsi="宋体"/>
          <w:color w:val="auto"/>
          <w:sz w:val="24"/>
        </w:rPr>
        <w:t>编号</w:t>
      </w:r>
      <w:r>
        <w:rPr>
          <w:rFonts w:hint="eastAsia" w:ascii="宋体" w:hAnsi="宋体"/>
          <w:color w:val="auto"/>
          <w:sz w:val="24"/>
        </w:rPr>
        <w:t>：</w:t>
      </w:r>
    </w:p>
    <w:p>
      <w:pPr>
        <w:overflowPunct w:val="0"/>
        <w:topLinePunct/>
        <w:adjustRightInd w:val="0"/>
        <w:jc w:val="left"/>
        <w:textAlignment w:val="top"/>
        <w:rPr>
          <w:rFonts w:ascii="宋体" w:hAnsi="宋体"/>
          <w:color w:val="auto"/>
          <w:sz w:val="24"/>
        </w:rPr>
      </w:pPr>
      <w:r>
        <w:rPr>
          <w:rFonts w:hint="eastAsia" w:ascii="宋体" w:hAnsi="宋体"/>
          <w:color w:val="auto"/>
          <w:sz w:val="24"/>
        </w:rPr>
        <w:t xml:space="preserve">                                                             单位：元</w:t>
      </w:r>
    </w:p>
    <w:tbl>
      <w:tblPr>
        <w:tblStyle w:val="3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878"/>
        <w:gridCol w:w="1275"/>
        <w:gridCol w:w="1276"/>
        <w:gridCol w:w="1276"/>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671" w:type="dxa"/>
            <w:vAlign w:val="center"/>
          </w:tcPr>
          <w:p>
            <w:pPr>
              <w:jc w:val="center"/>
              <w:rPr>
                <w:rFonts w:ascii="宋体" w:hAnsi="宋体"/>
                <w:color w:val="auto"/>
                <w:sz w:val="24"/>
              </w:rPr>
            </w:pPr>
            <w:r>
              <w:rPr>
                <w:rFonts w:hint="eastAsia" w:ascii="宋体" w:hAnsi="宋体"/>
                <w:color w:val="auto"/>
                <w:sz w:val="24"/>
              </w:rPr>
              <w:t>项目名称</w:t>
            </w:r>
          </w:p>
        </w:tc>
        <w:tc>
          <w:tcPr>
            <w:tcW w:w="7257" w:type="dxa"/>
            <w:gridSpan w:val="6"/>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671" w:type="dxa"/>
            <w:vAlign w:val="center"/>
          </w:tcPr>
          <w:p>
            <w:pPr>
              <w:jc w:val="center"/>
              <w:rPr>
                <w:rFonts w:ascii="宋体" w:hAnsi="宋体"/>
                <w:color w:val="auto"/>
                <w:sz w:val="24"/>
              </w:rPr>
            </w:pPr>
            <w:r>
              <w:rPr>
                <w:rFonts w:hint="eastAsia" w:ascii="宋体" w:hAnsi="宋体"/>
                <w:color w:val="auto"/>
                <w:sz w:val="24"/>
              </w:rPr>
              <w:t>供应商</w:t>
            </w:r>
          </w:p>
        </w:tc>
        <w:tc>
          <w:tcPr>
            <w:tcW w:w="7257" w:type="dxa"/>
            <w:gridSpan w:val="6"/>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671" w:type="dxa"/>
            <w:vAlign w:val="center"/>
          </w:tcPr>
          <w:p>
            <w:pPr>
              <w:jc w:val="center"/>
              <w:rPr>
                <w:rFonts w:ascii="宋体" w:hAnsi="宋体"/>
                <w:color w:val="auto"/>
                <w:sz w:val="24"/>
              </w:rPr>
            </w:pPr>
            <w:r>
              <w:rPr>
                <w:rFonts w:hint="eastAsia" w:ascii="宋体" w:hAnsi="宋体"/>
                <w:color w:val="auto"/>
                <w:sz w:val="24"/>
              </w:rPr>
              <w:t>响应范围</w:t>
            </w:r>
          </w:p>
        </w:tc>
        <w:tc>
          <w:tcPr>
            <w:tcW w:w="7257" w:type="dxa"/>
            <w:gridSpan w:val="6"/>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671" w:type="dxa"/>
            <w:vAlign w:val="center"/>
          </w:tcPr>
          <w:p>
            <w:pPr>
              <w:jc w:val="center"/>
              <w:rPr>
                <w:rFonts w:ascii="宋体" w:hAnsi="宋体"/>
                <w:color w:val="auto"/>
                <w:sz w:val="24"/>
              </w:rPr>
            </w:pPr>
            <w:r>
              <w:rPr>
                <w:rFonts w:hint="eastAsia" w:ascii="宋体" w:hAnsi="宋体"/>
                <w:color w:val="auto"/>
                <w:sz w:val="24"/>
              </w:rPr>
              <w:t>投标报价</w:t>
            </w:r>
          </w:p>
        </w:tc>
        <w:tc>
          <w:tcPr>
            <w:tcW w:w="7257" w:type="dxa"/>
            <w:gridSpan w:val="6"/>
            <w:vAlign w:val="center"/>
          </w:tcPr>
          <w:p>
            <w:pPr>
              <w:rPr>
                <w:rFonts w:ascii="宋体" w:hAnsi="宋体"/>
                <w:color w:val="auto"/>
                <w:sz w:val="24"/>
              </w:rPr>
            </w:pPr>
            <w:r>
              <w:rPr>
                <w:rFonts w:hint="eastAsia" w:ascii="宋体" w:hAnsi="宋体"/>
                <w:color w:val="auto"/>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671" w:type="dxa"/>
            <w:vAlign w:val="center"/>
          </w:tcPr>
          <w:p>
            <w:pPr>
              <w:jc w:val="center"/>
              <w:rPr>
                <w:rFonts w:hint="eastAsia" w:ascii="宋体" w:hAnsi="宋体" w:eastAsia="宋体"/>
                <w:color w:val="auto"/>
                <w:sz w:val="24"/>
                <w:lang w:eastAsia="zh-CN"/>
              </w:rPr>
            </w:pPr>
            <w:r>
              <w:rPr>
                <w:rFonts w:hint="eastAsia" w:ascii="宋体" w:hAnsi="宋体"/>
                <w:color w:val="auto"/>
                <w:sz w:val="24"/>
                <w:lang w:eastAsia="zh-CN"/>
              </w:rPr>
              <w:t>服务期限</w:t>
            </w:r>
          </w:p>
        </w:tc>
        <w:tc>
          <w:tcPr>
            <w:tcW w:w="7257" w:type="dxa"/>
            <w:gridSpan w:val="6"/>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671" w:type="dxa"/>
            <w:vAlign w:val="center"/>
          </w:tcPr>
          <w:p>
            <w:pPr>
              <w:jc w:val="center"/>
              <w:rPr>
                <w:rFonts w:ascii="宋体" w:hAnsi="宋体"/>
                <w:color w:val="auto"/>
                <w:sz w:val="24"/>
              </w:rPr>
            </w:pPr>
            <w:r>
              <w:rPr>
                <w:rFonts w:hint="eastAsia" w:ascii="宋体" w:hAnsi="宋体"/>
                <w:color w:val="auto"/>
                <w:sz w:val="24"/>
              </w:rPr>
              <w:t>保证金</w:t>
            </w:r>
          </w:p>
        </w:tc>
        <w:tc>
          <w:tcPr>
            <w:tcW w:w="7257" w:type="dxa"/>
            <w:gridSpan w:val="6"/>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671" w:type="dxa"/>
            <w:vAlign w:val="center"/>
          </w:tcPr>
          <w:p>
            <w:pPr>
              <w:jc w:val="center"/>
              <w:rPr>
                <w:rFonts w:ascii="宋体" w:hAnsi="宋体"/>
                <w:color w:val="auto"/>
                <w:sz w:val="24"/>
              </w:rPr>
            </w:pPr>
            <w:r>
              <w:rPr>
                <w:rFonts w:hint="eastAsia" w:ascii="宋体" w:hAnsi="宋体"/>
                <w:color w:val="auto"/>
                <w:sz w:val="24"/>
              </w:rPr>
              <w:t>项目负责人</w:t>
            </w:r>
          </w:p>
        </w:tc>
        <w:tc>
          <w:tcPr>
            <w:tcW w:w="878" w:type="dxa"/>
            <w:vAlign w:val="center"/>
          </w:tcPr>
          <w:p>
            <w:pPr>
              <w:jc w:val="center"/>
              <w:rPr>
                <w:rFonts w:ascii="宋体" w:hAnsi="宋体"/>
                <w:color w:val="auto"/>
                <w:sz w:val="24"/>
              </w:rPr>
            </w:pPr>
            <w:r>
              <w:rPr>
                <w:rFonts w:hint="eastAsia" w:ascii="宋体" w:hAnsi="宋体"/>
                <w:color w:val="auto"/>
                <w:sz w:val="24"/>
              </w:rPr>
              <w:t>姓名</w:t>
            </w:r>
          </w:p>
        </w:tc>
        <w:tc>
          <w:tcPr>
            <w:tcW w:w="1275" w:type="dxa"/>
            <w:vAlign w:val="center"/>
          </w:tcPr>
          <w:p>
            <w:pPr>
              <w:jc w:val="center"/>
              <w:rPr>
                <w:rFonts w:ascii="宋体" w:hAnsi="宋体"/>
                <w:color w:val="auto"/>
                <w:sz w:val="24"/>
              </w:rPr>
            </w:pPr>
          </w:p>
        </w:tc>
        <w:tc>
          <w:tcPr>
            <w:tcW w:w="1276" w:type="dxa"/>
            <w:vAlign w:val="center"/>
          </w:tcPr>
          <w:p>
            <w:pPr>
              <w:jc w:val="center"/>
              <w:rPr>
                <w:rFonts w:ascii="宋体" w:hAnsi="宋体"/>
                <w:color w:val="auto"/>
                <w:sz w:val="24"/>
              </w:rPr>
            </w:pPr>
            <w:r>
              <w:rPr>
                <w:rFonts w:hint="eastAsia" w:ascii="宋体" w:hAnsi="宋体"/>
                <w:color w:val="auto"/>
                <w:sz w:val="24"/>
              </w:rPr>
              <w:t>职称</w:t>
            </w:r>
          </w:p>
        </w:tc>
        <w:tc>
          <w:tcPr>
            <w:tcW w:w="1276" w:type="dxa"/>
            <w:vAlign w:val="center"/>
          </w:tcPr>
          <w:p>
            <w:pPr>
              <w:jc w:val="center"/>
              <w:rPr>
                <w:rFonts w:ascii="宋体" w:hAnsi="宋体"/>
                <w:color w:val="auto"/>
                <w:sz w:val="24"/>
              </w:rPr>
            </w:pPr>
          </w:p>
        </w:tc>
        <w:tc>
          <w:tcPr>
            <w:tcW w:w="1276" w:type="dxa"/>
            <w:vAlign w:val="center"/>
          </w:tcPr>
          <w:p>
            <w:pPr>
              <w:jc w:val="center"/>
              <w:rPr>
                <w:rFonts w:ascii="宋体" w:hAnsi="宋体"/>
                <w:color w:val="auto"/>
                <w:sz w:val="24"/>
              </w:rPr>
            </w:pPr>
            <w:r>
              <w:rPr>
                <w:rFonts w:hint="eastAsia" w:ascii="宋体" w:hAnsi="宋体"/>
                <w:color w:val="auto"/>
                <w:sz w:val="24"/>
              </w:rPr>
              <w:t>年龄</w:t>
            </w:r>
          </w:p>
        </w:tc>
        <w:tc>
          <w:tcPr>
            <w:tcW w:w="127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1671" w:type="dxa"/>
            <w:vAlign w:val="center"/>
          </w:tcPr>
          <w:p>
            <w:pPr>
              <w:jc w:val="center"/>
              <w:rPr>
                <w:rFonts w:ascii="宋体" w:hAnsi="宋体"/>
                <w:color w:val="auto"/>
                <w:sz w:val="24"/>
              </w:rPr>
            </w:pPr>
            <w:r>
              <w:rPr>
                <w:rFonts w:hint="eastAsia" w:ascii="宋体" w:hAnsi="宋体"/>
                <w:color w:val="auto"/>
                <w:sz w:val="24"/>
              </w:rPr>
              <w:t>备注</w:t>
            </w:r>
          </w:p>
        </w:tc>
        <w:tc>
          <w:tcPr>
            <w:tcW w:w="7257" w:type="dxa"/>
            <w:gridSpan w:val="6"/>
            <w:vAlign w:val="center"/>
          </w:tcPr>
          <w:p>
            <w:pPr>
              <w:jc w:val="center"/>
              <w:rPr>
                <w:rFonts w:ascii="宋体" w:hAnsi="宋体"/>
                <w:color w:val="auto"/>
                <w:sz w:val="24"/>
              </w:rPr>
            </w:pPr>
          </w:p>
        </w:tc>
      </w:tr>
    </w:tbl>
    <w:p>
      <w:pPr>
        <w:rPr>
          <w:rFonts w:ascii="宋体" w:hAnsi="宋体"/>
          <w:color w:val="auto"/>
          <w:sz w:val="24"/>
        </w:rPr>
      </w:pPr>
    </w:p>
    <w:p>
      <w:pPr>
        <w:rPr>
          <w:rFonts w:ascii="宋体" w:hAnsi="宋体"/>
          <w:color w:val="auto"/>
          <w:sz w:val="24"/>
        </w:rPr>
      </w:pPr>
    </w:p>
    <w:p>
      <w:pPr>
        <w:rPr>
          <w:rFonts w:ascii="宋体" w:hAnsi="宋体"/>
          <w:color w:val="auto"/>
          <w:sz w:val="24"/>
        </w:rPr>
      </w:pPr>
      <w:r>
        <w:rPr>
          <w:rFonts w:hint="eastAsia" w:ascii="宋体" w:hAnsi="宋体"/>
          <w:color w:val="auto"/>
          <w:sz w:val="24"/>
        </w:rPr>
        <w:t>法定代表人或其委托代理人（签字或盖章）：</w:t>
      </w:r>
    </w:p>
    <w:p>
      <w:pPr>
        <w:rPr>
          <w:rFonts w:ascii="宋体" w:hAnsi="宋体"/>
          <w:color w:val="auto"/>
          <w:sz w:val="24"/>
        </w:rPr>
      </w:pPr>
    </w:p>
    <w:p>
      <w:pPr>
        <w:rPr>
          <w:rFonts w:ascii="宋体" w:hAnsi="宋体"/>
          <w:color w:val="auto"/>
          <w:sz w:val="24"/>
        </w:rPr>
      </w:pPr>
    </w:p>
    <w:p>
      <w:pPr>
        <w:rPr>
          <w:rFonts w:ascii="宋体" w:hAnsi="宋体"/>
          <w:color w:val="auto"/>
          <w:sz w:val="24"/>
        </w:rPr>
      </w:pPr>
      <w:r>
        <w:rPr>
          <w:rFonts w:hint="eastAsia" w:ascii="宋体" w:hAnsi="宋体"/>
          <w:color w:val="auto"/>
          <w:sz w:val="24"/>
        </w:rPr>
        <w:t>供应商名称（盖单位公章）：</w:t>
      </w: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r>
        <w:rPr>
          <w:rFonts w:hint="eastAsia" w:ascii="宋体" w:hAnsi="宋体"/>
          <w:color w:val="auto"/>
          <w:sz w:val="24"/>
        </w:rPr>
        <w:t>日      期：</w:t>
      </w:r>
    </w:p>
    <w:p>
      <w:pPr>
        <w:rPr>
          <w:rFonts w:ascii="宋体" w:hAnsi="宋体"/>
          <w:color w:val="auto"/>
          <w:sz w:val="24"/>
        </w:rPr>
      </w:pPr>
    </w:p>
    <w:p>
      <w:pPr>
        <w:spacing w:line="440" w:lineRule="exact"/>
        <w:rPr>
          <w:rFonts w:ascii="宋体" w:hAnsi="宋体" w:cs="宋体"/>
          <w:color w:val="auto"/>
          <w:sz w:val="20"/>
          <w:szCs w:val="20"/>
        </w:rPr>
      </w:pPr>
    </w:p>
    <w:p>
      <w:pPr>
        <w:spacing w:line="440" w:lineRule="exact"/>
        <w:rPr>
          <w:rFonts w:ascii="宋体" w:hAnsi="宋体" w:cs="宋体"/>
          <w:color w:val="auto"/>
          <w:sz w:val="20"/>
          <w:szCs w:val="20"/>
        </w:rPr>
      </w:pPr>
    </w:p>
    <w:p>
      <w:pPr>
        <w:rPr>
          <w:color w:val="auto"/>
        </w:rPr>
      </w:pPr>
      <w:bookmarkStart w:id="723" w:name="_Toc287367268"/>
      <w:bookmarkStart w:id="724" w:name="_Toc152042580"/>
      <w:bookmarkStart w:id="725" w:name="_Toc144974860"/>
      <w:bookmarkStart w:id="726" w:name="_Toc152045791"/>
    </w:p>
    <w:bookmarkEnd w:id="723"/>
    <w:bookmarkEnd w:id="724"/>
    <w:bookmarkEnd w:id="725"/>
    <w:bookmarkEnd w:id="726"/>
    <w:p>
      <w:pPr>
        <w:jc w:val="center"/>
        <w:rPr>
          <w:b/>
          <w:color w:val="auto"/>
        </w:rPr>
      </w:pPr>
      <w:bookmarkStart w:id="727" w:name="_Toc19093"/>
      <w:bookmarkStart w:id="728" w:name="_Toc22114899"/>
      <w:bookmarkStart w:id="729" w:name="_Toc248559947"/>
      <w:bookmarkStart w:id="730" w:name="_Toc234919389"/>
      <w:r>
        <w:rPr>
          <w:rFonts w:hint="eastAsia"/>
          <w:b/>
          <w:color w:val="auto"/>
          <w:sz w:val="24"/>
        </w:rPr>
        <w:t>法定代表人授权委托书</w:t>
      </w:r>
    </w:p>
    <w:p>
      <w:pPr>
        <w:spacing w:line="600" w:lineRule="exact"/>
        <w:ind w:firstLine="640"/>
        <w:rPr>
          <w:rFonts w:ascii="宋体" w:hAnsi="宋体"/>
          <w:color w:val="auto"/>
          <w:sz w:val="24"/>
        </w:rPr>
      </w:pPr>
      <w:r>
        <w:rPr>
          <w:rFonts w:hint="eastAsia" w:ascii="宋体" w:hAnsi="宋体"/>
          <w:color w:val="auto"/>
          <w:sz w:val="24"/>
        </w:rPr>
        <w:t>本授权书声明：注册于</w:t>
      </w:r>
      <w:r>
        <w:rPr>
          <w:rFonts w:hint="eastAsia" w:ascii="宋体" w:hAnsi="宋体"/>
          <w:color w:val="auto"/>
          <w:sz w:val="24"/>
          <w:u w:val="single"/>
        </w:rPr>
        <w:t xml:space="preserve">（注册地址）   </w:t>
      </w:r>
      <w:r>
        <w:rPr>
          <w:rFonts w:hint="eastAsia" w:ascii="宋体" w:hAnsi="宋体"/>
          <w:color w:val="auto"/>
          <w:sz w:val="24"/>
        </w:rPr>
        <w:t>的公司的在下面签字的</w:t>
      </w:r>
      <w:r>
        <w:rPr>
          <w:rFonts w:hint="eastAsia" w:ascii="宋体" w:hAnsi="宋体"/>
          <w:color w:val="auto"/>
          <w:sz w:val="24"/>
          <w:u w:val="single"/>
        </w:rPr>
        <w:t xml:space="preserve">  （法人代表姓名、职务）  </w:t>
      </w:r>
      <w:r>
        <w:rPr>
          <w:rFonts w:hint="eastAsia" w:ascii="宋体" w:hAnsi="宋体"/>
          <w:color w:val="auto"/>
          <w:sz w:val="24"/>
        </w:rPr>
        <w:t>代表本公司授权</w:t>
      </w:r>
      <w:r>
        <w:rPr>
          <w:rFonts w:hint="eastAsia" w:ascii="宋体" w:hAnsi="宋体"/>
          <w:color w:val="auto"/>
          <w:sz w:val="24"/>
          <w:u w:val="single"/>
        </w:rPr>
        <w:t xml:space="preserve">   （单位）      </w:t>
      </w:r>
      <w:r>
        <w:rPr>
          <w:rFonts w:hint="eastAsia" w:ascii="宋体" w:hAnsi="宋体"/>
          <w:color w:val="auto"/>
          <w:sz w:val="24"/>
        </w:rPr>
        <w:t>的在下面签字的</w:t>
      </w:r>
      <w:r>
        <w:rPr>
          <w:rFonts w:hint="eastAsia" w:ascii="宋体" w:hAnsi="宋体"/>
          <w:color w:val="auto"/>
          <w:sz w:val="24"/>
          <w:u w:val="single"/>
        </w:rPr>
        <w:t xml:space="preserve">（被授权人的姓名、职务）    </w:t>
      </w:r>
      <w:r>
        <w:rPr>
          <w:rFonts w:hint="eastAsia" w:ascii="宋体" w:hAnsi="宋体"/>
          <w:color w:val="auto"/>
          <w:sz w:val="24"/>
        </w:rPr>
        <w:t>为本公司的合法代理人，就</w:t>
      </w:r>
      <w:r>
        <w:rPr>
          <w:rFonts w:hint="eastAsia" w:ascii="宋体" w:hAnsi="宋体"/>
          <w:color w:val="auto"/>
          <w:sz w:val="24"/>
          <w:u w:val="single"/>
        </w:rPr>
        <w:t xml:space="preserve">    （招标项目）      </w:t>
      </w:r>
      <w:r>
        <w:rPr>
          <w:rFonts w:hint="eastAsia" w:ascii="宋体" w:hAnsi="宋体"/>
          <w:color w:val="auto"/>
          <w:sz w:val="24"/>
        </w:rPr>
        <w:t>的投标及合同的执行、完成，以本公司名义处理一切与之有关的事务。</w:t>
      </w:r>
    </w:p>
    <w:p>
      <w:pPr>
        <w:spacing w:line="600" w:lineRule="exact"/>
        <w:ind w:firstLine="640"/>
        <w:rPr>
          <w:rFonts w:ascii="宋体" w:hAnsi="宋体"/>
          <w:color w:val="auto"/>
          <w:sz w:val="24"/>
        </w:rPr>
      </w:pPr>
      <w:r>
        <w:rPr>
          <w:rFonts w:hint="eastAsia" w:ascii="宋体" w:hAnsi="宋体"/>
          <w:color w:val="auto"/>
          <w:sz w:val="24"/>
        </w:rPr>
        <w:t>本授权书于   年 月 日签字生效，特此声明。</w:t>
      </w:r>
    </w:p>
    <w:p>
      <w:pPr>
        <w:spacing w:line="600" w:lineRule="exact"/>
        <w:ind w:firstLine="640"/>
        <w:rPr>
          <w:rFonts w:ascii="宋体" w:hAnsi="宋体"/>
          <w:color w:val="auto"/>
          <w:sz w:val="24"/>
        </w:rPr>
      </w:pPr>
    </w:p>
    <w:p>
      <w:pPr>
        <w:spacing w:line="600" w:lineRule="exact"/>
        <w:ind w:firstLine="640"/>
        <w:rPr>
          <w:rFonts w:ascii="宋体" w:hAnsi="宋体"/>
          <w:color w:val="auto"/>
          <w:sz w:val="24"/>
        </w:rPr>
      </w:pPr>
      <w:r>
        <w:rPr>
          <w:rFonts w:hint="eastAsia" w:ascii="宋体" w:hAnsi="宋体"/>
          <w:color w:val="auto"/>
          <w:sz w:val="24"/>
        </w:rPr>
        <w:t>法定代表人（签字或盖章）：</w:t>
      </w:r>
    </w:p>
    <w:p>
      <w:pPr>
        <w:spacing w:line="600" w:lineRule="exact"/>
        <w:ind w:firstLine="640"/>
        <w:rPr>
          <w:rFonts w:ascii="宋体" w:hAnsi="宋体"/>
          <w:color w:val="auto"/>
          <w:sz w:val="24"/>
        </w:rPr>
      </w:pPr>
      <w:r>
        <w:rPr>
          <w:rFonts w:hint="eastAsia" w:ascii="宋体" w:hAnsi="宋体"/>
          <w:color w:val="auto"/>
          <w:sz w:val="24"/>
        </w:rPr>
        <w:t>委托代理人(签字或盖章)：</w:t>
      </w:r>
    </w:p>
    <w:p>
      <w:pPr>
        <w:spacing w:line="600" w:lineRule="exact"/>
        <w:ind w:firstLine="640"/>
        <w:rPr>
          <w:rFonts w:ascii="宋体" w:hAnsi="宋体"/>
          <w:color w:val="auto"/>
          <w:sz w:val="24"/>
        </w:rPr>
      </w:pPr>
      <w:r>
        <w:rPr>
          <w:rFonts w:hint="eastAsia" w:ascii="宋体" w:hAnsi="宋体"/>
          <w:color w:val="auto"/>
          <w:sz w:val="24"/>
        </w:rPr>
        <w:t>职务：</w:t>
      </w:r>
    </w:p>
    <w:p>
      <w:pPr>
        <w:spacing w:line="600" w:lineRule="exact"/>
        <w:ind w:firstLine="640"/>
        <w:rPr>
          <w:rFonts w:ascii="宋体" w:hAnsi="宋体"/>
          <w:color w:val="auto"/>
          <w:sz w:val="24"/>
        </w:rPr>
      </w:pPr>
      <w:r>
        <w:rPr>
          <w:rFonts w:hint="eastAsia" w:ascii="宋体" w:hAnsi="宋体"/>
          <w:color w:val="auto"/>
          <w:sz w:val="24"/>
        </w:rPr>
        <w:t>单位名称（盖单位公章）：</w:t>
      </w:r>
    </w:p>
    <w:p>
      <w:pPr>
        <w:spacing w:line="600" w:lineRule="exact"/>
        <w:ind w:firstLine="640"/>
        <w:rPr>
          <w:rFonts w:ascii="宋体" w:hAnsi="宋体"/>
          <w:color w:val="auto"/>
          <w:sz w:val="24"/>
        </w:rPr>
      </w:pPr>
      <w:r>
        <w:rPr>
          <w:rFonts w:hint="eastAsia" w:ascii="宋体" w:hAnsi="宋体"/>
          <w:color w:val="auto"/>
          <w:sz w:val="24"/>
        </w:rPr>
        <w:t>地址：</w:t>
      </w:r>
    </w:p>
    <w:p>
      <w:pPr>
        <w:pStyle w:val="5"/>
        <w:ind w:left="0"/>
        <w:rPr>
          <w:rFonts w:hint="eastAsia" w:ascii="宋体" w:hAnsi="宋体" w:eastAsia="宋体"/>
          <w:b w:val="0"/>
          <w:bCs w:val="0"/>
          <w:color w:val="auto"/>
          <w:sz w:val="28"/>
          <w:szCs w:val="28"/>
        </w:rPr>
      </w:pPr>
      <w:r>
        <w:rPr>
          <w:rFonts w:hint="eastAsia" w:ascii="宋体" w:hAnsi="宋体" w:eastAsia="宋体"/>
          <w:b w:val="0"/>
          <w:bCs w:val="0"/>
          <w:color w:val="auto"/>
          <w:sz w:val="28"/>
          <w:szCs w:val="28"/>
        </w:rPr>
        <w:t>附：法定代表人和委托代理人身份证复印件</w:t>
      </w:r>
    </w:p>
    <w:p>
      <w:pPr>
        <w:rPr>
          <w:rFonts w:hint="eastAsia" w:ascii="宋体" w:hAnsi="宋体" w:eastAsia="宋体"/>
          <w:b w:val="0"/>
          <w:bCs w:val="0"/>
          <w:color w:val="auto"/>
          <w:sz w:val="28"/>
          <w:szCs w:val="28"/>
        </w:rPr>
      </w:pPr>
    </w:p>
    <w:p>
      <w:pPr>
        <w:pStyle w:val="2"/>
        <w:rPr>
          <w:rFonts w:hint="eastAsia" w:ascii="宋体" w:hAnsi="宋体" w:eastAsia="宋体"/>
          <w:b w:val="0"/>
          <w:bCs w:val="0"/>
          <w:color w:val="auto"/>
          <w:sz w:val="28"/>
          <w:szCs w:val="28"/>
        </w:rPr>
      </w:pPr>
    </w:p>
    <w:p>
      <w:pPr>
        <w:pStyle w:val="2"/>
        <w:rPr>
          <w:rFonts w:hint="eastAsia" w:ascii="宋体" w:hAnsi="宋体" w:eastAsia="宋体"/>
          <w:b w:val="0"/>
          <w:bCs w:val="0"/>
          <w:color w:val="auto"/>
          <w:sz w:val="28"/>
          <w:szCs w:val="28"/>
        </w:rPr>
      </w:pPr>
    </w:p>
    <w:p>
      <w:pPr>
        <w:pStyle w:val="4"/>
        <w:jc w:val="center"/>
        <w:rPr>
          <w:rFonts w:hint="eastAsia" w:ascii="宋体" w:hAnsi="宋体" w:eastAsia="宋体"/>
          <w:color w:val="auto"/>
        </w:rPr>
      </w:pPr>
      <w:r>
        <w:rPr>
          <w:rFonts w:hint="eastAsia" w:ascii="宋体" w:hAnsi="宋体" w:eastAsia="宋体"/>
          <w:color w:val="auto"/>
        </w:rPr>
        <w:t>二、</w:t>
      </w:r>
      <w:bookmarkEnd w:id="727"/>
      <w:bookmarkEnd w:id="728"/>
      <w:bookmarkEnd w:id="729"/>
      <w:bookmarkEnd w:id="730"/>
      <w:r>
        <w:rPr>
          <w:rFonts w:hint="eastAsia" w:ascii="宋体" w:hAnsi="宋体" w:eastAsia="宋体"/>
          <w:color w:val="auto"/>
        </w:rPr>
        <w:t>项目方案及服务承诺</w:t>
      </w:r>
    </w:p>
    <w:p>
      <w:pPr>
        <w:pStyle w:val="4"/>
        <w:jc w:val="both"/>
        <w:rPr>
          <w:rFonts w:hint="eastAsia" w:ascii="宋体" w:hAnsi="宋体" w:eastAsia="宋体"/>
          <w:color w:val="auto"/>
        </w:rPr>
      </w:pPr>
      <w:r>
        <w:rPr>
          <w:rFonts w:hint="eastAsia" w:ascii="宋体" w:hAnsi="宋体" w:eastAsia="宋体"/>
          <w:color w:val="auto"/>
        </w:rPr>
        <w:t xml:space="preserve">          （1）项目方案框架</w:t>
      </w:r>
    </w:p>
    <w:p>
      <w:pPr>
        <w:pStyle w:val="4"/>
        <w:jc w:val="both"/>
        <w:rPr>
          <w:rFonts w:hint="eastAsia" w:ascii="宋体" w:hAnsi="宋体" w:eastAsia="宋体"/>
          <w:color w:val="auto"/>
        </w:rPr>
      </w:pPr>
      <w:r>
        <w:rPr>
          <w:rFonts w:hint="eastAsia" w:ascii="宋体" w:hAnsi="宋体" w:eastAsia="宋体"/>
          <w:color w:val="auto"/>
        </w:rPr>
        <w:t xml:space="preserve">           (2)项目工作计划</w:t>
      </w:r>
    </w:p>
    <w:p>
      <w:pPr>
        <w:pStyle w:val="4"/>
        <w:jc w:val="both"/>
        <w:rPr>
          <w:rFonts w:hint="eastAsia" w:ascii="宋体" w:hAnsi="宋体" w:eastAsia="宋体"/>
          <w:color w:val="auto"/>
        </w:rPr>
      </w:pPr>
      <w:r>
        <w:rPr>
          <w:rFonts w:hint="eastAsia" w:ascii="宋体" w:hAnsi="宋体" w:eastAsia="宋体"/>
          <w:color w:val="auto"/>
        </w:rPr>
        <w:t xml:space="preserve">           (3)项目量化标准</w:t>
      </w:r>
    </w:p>
    <w:p>
      <w:pPr>
        <w:pStyle w:val="4"/>
        <w:jc w:val="both"/>
        <w:rPr>
          <w:rFonts w:hint="eastAsia" w:ascii="宋体" w:hAnsi="宋体" w:eastAsia="宋体"/>
          <w:color w:val="auto"/>
          <w:lang w:eastAsia="zh-CN"/>
        </w:rPr>
      </w:pPr>
      <w:r>
        <w:rPr>
          <w:rFonts w:hint="eastAsia" w:ascii="宋体" w:hAnsi="宋体" w:eastAsia="宋体"/>
          <w:color w:val="auto"/>
        </w:rPr>
        <w:t xml:space="preserve">           (4)服务团队和硬件</w:t>
      </w:r>
      <w:r>
        <w:rPr>
          <w:rFonts w:hint="eastAsia" w:ascii="宋体" w:hAnsi="宋体" w:eastAsia="宋体"/>
          <w:color w:val="auto"/>
          <w:lang w:eastAsia="zh-CN"/>
        </w:rPr>
        <w:t>支持</w:t>
      </w:r>
    </w:p>
    <w:p>
      <w:pPr>
        <w:pStyle w:val="4"/>
        <w:ind w:firstLine="1928" w:firstLineChars="600"/>
        <w:jc w:val="both"/>
        <w:rPr>
          <w:rFonts w:hint="eastAsia" w:ascii="宋体" w:hAnsi="宋体" w:eastAsia="宋体"/>
          <w:color w:val="auto"/>
          <w:lang w:eastAsia="zh-CN"/>
        </w:rPr>
      </w:pPr>
      <w:r>
        <w:rPr>
          <w:rFonts w:hint="eastAsia" w:ascii="宋体" w:hAnsi="宋体" w:eastAsia="宋体"/>
          <w:color w:val="auto"/>
        </w:rPr>
        <w:t>(</w:t>
      </w:r>
      <w:r>
        <w:rPr>
          <w:rFonts w:hint="eastAsia" w:ascii="宋体" w:hAnsi="宋体" w:eastAsia="宋体"/>
          <w:color w:val="auto"/>
          <w:lang w:val="en-US" w:eastAsia="zh-CN"/>
        </w:rPr>
        <w:t>5</w:t>
      </w:r>
      <w:r>
        <w:rPr>
          <w:rFonts w:hint="eastAsia" w:ascii="宋体" w:hAnsi="宋体" w:eastAsia="宋体"/>
          <w:color w:val="auto"/>
        </w:rPr>
        <w:t>)</w:t>
      </w:r>
      <w:r>
        <w:rPr>
          <w:rFonts w:hint="eastAsia" w:ascii="宋体" w:hAnsi="宋体" w:eastAsia="宋体"/>
          <w:color w:val="auto"/>
          <w:lang w:eastAsia="zh-CN"/>
        </w:rPr>
        <w:t>增值服务</w:t>
      </w:r>
    </w:p>
    <w:p>
      <w:pPr>
        <w:rPr>
          <w:color w:val="auto"/>
        </w:rPr>
      </w:pPr>
    </w:p>
    <w:p>
      <w:pPr>
        <w:jc w:val="center"/>
        <w:rPr>
          <w:rFonts w:ascii="宋体" w:hAnsi="宋体"/>
          <w:color w:val="auto"/>
          <w:sz w:val="28"/>
        </w:rPr>
      </w:pPr>
    </w:p>
    <w:p>
      <w:pPr>
        <w:rPr>
          <w:rFonts w:ascii="宋体" w:hAnsi="宋体"/>
          <w:color w:val="auto"/>
          <w:sz w:val="28"/>
        </w:rPr>
      </w:pPr>
    </w:p>
    <w:p>
      <w:pPr>
        <w:rPr>
          <w:rFonts w:ascii="宋体" w:hAnsi="宋体"/>
          <w:color w:val="auto"/>
          <w:sz w:val="28"/>
        </w:rPr>
      </w:pPr>
    </w:p>
    <w:p>
      <w:pPr>
        <w:rPr>
          <w:rFonts w:ascii="宋体" w:hAnsi="宋体"/>
          <w:color w:val="auto"/>
          <w:sz w:val="28"/>
        </w:rPr>
      </w:pPr>
    </w:p>
    <w:p>
      <w:pPr>
        <w:rPr>
          <w:rFonts w:ascii="宋体" w:hAnsi="宋体"/>
          <w:color w:val="auto"/>
          <w:sz w:val="28"/>
        </w:rPr>
      </w:pPr>
    </w:p>
    <w:p>
      <w:pPr>
        <w:rPr>
          <w:rFonts w:ascii="宋体" w:hAnsi="宋体"/>
          <w:color w:val="auto"/>
          <w:sz w:val="28"/>
        </w:rPr>
      </w:pPr>
    </w:p>
    <w:p>
      <w:pPr>
        <w:rPr>
          <w:rFonts w:ascii="宋体" w:hAnsi="宋体"/>
          <w:color w:val="auto"/>
          <w:sz w:val="28"/>
        </w:rPr>
      </w:pPr>
    </w:p>
    <w:p>
      <w:pPr>
        <w:rPr>
          <w:rFonts w:ascii="宋体" w:hAnsi="宋体"/>
          <w:color w:val="auto"/>
          <w:sz w:val="28"/>
        </w:rPr>
      </w:pPr>
    </w:p>
    <w:p>
      <w:pPr>
        <w:rPr>
          <w:rFonts w:ascii="宋体" w:hAnsi="宋体"/>
          <w:color w:val="auto"/>
          <w:sz w:val="28"/>
        </w:rPr>
      </w:pPr>
    </w:p>
    <w:p>
      <w:pPr>
        <w:rPr>
          <w:rFonts w:ascii="宋体" w:hAnsi="宋体"/>
          <w:color w:val="auto"/>
          <w:sz w:val="28"/>
        </w:rPr>
      </w:pPr>
    </w:p>
    <w:p>
      <w:pPr>
        <w:rPr>
          <w:rFonts w:ascii="宋体" w:hAnsi="宋体"/>
          <w:color w:val="auto"/>
          <w:sz w:val="28"/>
        </w:rPr>
      </w:pPr>
    </w:p>
    <w:p>
      <w:pPr>
        <w:rPr>
          <w:rFonts w:ascii="宋体" w:hAnsi="宋体"/>
          <w:color w:val="auto"/>
          <w:sz w:val="28"/>
        </w:rPr>
      </w:pPr>
      <w:r>
        <w:rPr>
          <w:rFonts w:ascii="宋体" w:hAnsi="宋体"/>
          <w:color w:val="auto"/>
          <w:sz w:val="28"/>
        </w:rPr>
        <w:br w:type="page"/>
      </w:r>
    </w:p>
    <w:p>
      <w:pPr>
        <w:pStyle w:val="4"/>
        <w:jc w:val="center"/>
        <w:rPr>
          <w:rFonts w:ascii="宋体" w:hAnsi="宋体" w:eastAsia="宋体"/>
          <w:color w:val="auto"/>
        </w:rPr>
      </w:pPr>
      <w:bookmarkStart w:id="731" w:name="_Toc248559949"/>
      <w:bookmarkStart w:id="732" w:name="_Toc22114901"/>
      <w:bookmarkStart w:id="733" w:name="_Toc29359"/>
      <w:r>
        <w:rPr>
          <w:rFonts w:hint="eastAsia" w:ascii="宋体" w:hAnsi="宋体" w:eastAsia="宋体"/>
          <w:color w:val="auto"/>
          <w:lang w:eastAsia="zh-CN"/>
        </w:rPr>
        <w:t>三</w:t>
      </w:r>
      <w:r>
        <w:rPr>
          <w:rFonts w:hint="eastAsia" w:ascii="宋体" w:hAnsi="宋体" w:eastAsia="宋体"/>
          <w:color w:val="auto"/>
        </w:rPr>
        <w:t>、</w:t>
      </w:r>
      <w:bookmarkEnd w:id="731"/>
      <w:bookmarkEnd w:id="732"/>
      <w:bookmarkEnd w:id="733"/>
      <w:r>
        <w:rPr>
          <w:rFonts w:hint="eastAsia" w:ascii="宋体" w:hAnsi="宋体" w:eastAsia="宋体"/>
          <w:color w:val="auto"/>
        </w:rPr>
        <w:t>企业业绩及获得荣誉</w:t>
      </w:r>
    </w:p>
    <w:p>
      <w:pPr>
        <w:spacing w:line="600" w:lineRule="exact"/>
        <w:ind w:firstLine="480" w:firstLineChars="200"/>
        <w:rPr>
          <w:rFonts w:hint="eastAsia" w:ascii="宋体" w:hAnsi="宋体" w:eastAsia="宋体"/>
          <w:color w:val="auto"/>
          <w:sz w:val="24"/>
          <w:lang w:eastAsia="zh-CN"/>
        </w:rPr>
      </w:pPr>
      <w:r>
        <w:rPr>
          <w:rFonts w:hint="eastAsia" w:ascii="宋体" w:hAnsi="宋体"/>
          <w:color w:val="auto"/>
          <w:sz w:val="24"/>
          <w:lang w:val="en-US" w:eastAsia="zh-CN"/>
        </w:rPr>
        <w:t xml:space="preserve"> </w:t>
      </w:r>
    </w:p>
    <w:p>
      <w:pPr>
        <w:spacing w:line="600" w:lineRule="exact"/>
        <w:ind w:firstLine="480" w:firstLineChars="200"/>
        <w:rPr>
          <w:rFonts w:ascii="宋体" w:hAnsi="宋体"/>
          <w:color w:val="auto"/>
          <w:sz w:val="24"/>
        </w:rPr>
      </w:pPr>
    </w:p>
    <w:p>
      <w:pPr>
        <w:spacing w:line="600" w:lineRule="exact"/>
        <w:ind w:firstLine="480" w:firstLineChars="200"/>
        <w:rPr>
          <w:rFonts w:ascii="宋体" w:hAnsi="宋体"/>
          <w:color w:val="auto"/>
          <w:sz w:val="24"/>
        </w:rPr>
      </w:pPr>
    </w:p>
    <w:p>
      <w:pPr>
        <w:spacing w:line="600" w:lineRule="exact"/>
        <w:ind w:firstLine="480" w:firstLineChars="200"/>
        <w:rPr>
          <w:rFonts w:ascii="宋体" w:hAnsi="宋体"/>
          <w:color w:val="auto"/>
          <w:sz w:val="24"/>
        </w:rPr>
      </w:pPr>
    </w:p>
    <w:p>
      <w:pPr>
        <w:spacing w:line="400" w:lineRule="exact"/>
        <w:rPr>
          <w:rFonts w:hint="eastAsia" w:ascii="宋体" w:hAnsi="宋体" w:eastAsia="宋体" w:cs="宋体"/>
          <w:color w:val="auto"/>
          <w:sz w:val="20"/>
          <w:szCs w:val="20"/>
          <w:lang w:eastAsia="zh-CN"/>
        </w:rPr>
      </w:pPr>
      <w:r>
        <w:rPr>
          <w:rFonts w:hint="eastAsia" w:ascii="宋体" w:hAnsi="宋体"/>
          <w:color w:val="auto"/>
          <w:sz w:val="24"/>
          <w:lang w:val="en-US" w:eastAsia="zh-CN"/>
        </w:rPr>
        <w:t xml:space="preserve"> </w:t>
      </w:r>
    </w:p>
    <w:p>
      <w:pPr>
        <w:rPr>
          <w:color w:val="auto"/>
        </w:rPr>
      </w:pPr>
      <w:bookmarkStart w:id="734" w:name="_Toc144974862"/>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jc w:val="center"/>
        <w:rPr>
          <w:rFonts w:hint="eastAsia" w:ascii="Times New Roman" w:hAnsi="Times New Roman" w:eastAsia="宋体"/>
          <w:color w:val="auto"/>
          <w:sz w:val="28"/>
          <w:lang w:eastAsia="zh-CN"/>
        </w:rPr>
      </w:pPr>
      <w:bookmarkStart w:id="735" w:name="_Toc441791191"/>
      <w:bookmarkStart w:id="736" w:name="_Toc22114902"/>
      <w:bookmarkStart w:id="737" w:name="_Toc466298163"/>
      <w:r>
        <w:rPr>
          <w:rFonts w:hint="eastAsia" w:ascii="宋体" w:hAnsi="宋体" w:eastAsia="宋体"/>
          <w:color w:val="auto"/>
          <w:lang w:eastAsia="zh-CN"/>
        </w:rPr>
        <w:t>四</w:t>
      </w:r>
      <w:r>
        <w:rPr>
          <w:rFonts w:hint="eastAsia" w:ascii="宋体" w:hAnsi="宋体" w:eastAsia="宋体"/>
          <w:color w:val="auto"/>
        </w:rPr>
        <w:t>、</w:t>
      </w:r>
      <w:bookmarkEnd w:id="735"/>
      <w:bookmarkEnd w:id="736"/>
      <w:bookmarkEnd w:id="737"/>
      <w:r>
        <w:rPr>
          <w:rFonts w:hint="eastAsia" w:ascii="宋体" w:hAnsi="宋体" w:eastAsia="宋体"/>
          <w:color w:val="auto"/>
          <w:lang w:eastAsia="zh-CN"/>
        </w:rPr>
        <w:t>磋商承诺函</w:t>
      </w:r>
    </w:p>
    <w:p>
      <w:pPr>
        <w:pStyle w:val="35"/>
        <w:spacing w:before="0" w:beforeAutospacing="0" w:after="0" w:afterAutospacing="0" w:line="360" w:lineRule="auto"/>
        <w:jc w:val="both"/>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rPr>
        <w:t>致（采购人及采购代理机构）</w:t>
      </w:r>
      <w:r>
        <w:rPr>
          <w:rFonts w:hint="eastAsia" w:asciiTheme="minorEastAsia" w:hAnsiTheme="minorEastAsia" w:eastAsiaTheme="minorEastAsia"/>
          <w:color w:val="auto"/>
          <w:spacing w:val="7"/>
        </w:rPr>
        <w:t>：</w:t>
      </w:r>
    </w:p>
    <w:p>
      <w:pPr>
        <w:pStyle w:val="35"/>
        <w:spacing w:before="0" w:beforeAutospacing="0" w:after="0" w:afterAutospacing="0" w:line="360" w:lineRule="auto"/>
        <w:ind w:firstLine="480"/>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我公司作为本次采购项目的供应商，根据磋商文件要求，现郑重承诺如下：</w:t>
      </w:r>
    </w:p>
    <w:p>
      <w:pPr>
        <w:pStyle w:val="35"/>
        <w:spacing w:before="0" w:beforeAutospacing="0" w:after="0" w:afterAutospacing="0" w:line="360" w:lineRule="auto"/>
        <w:ind w:firstLine="480"/>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一、具备《中华人民共和国政府采购法》第二十二条第一款和本项目规定的条件：</w:t>
      </w:r>
    </w:p>
    <w:p>
      <w:pPr>
        <w:pStyle w:val="35"/>
        <w:spacing w:before="0" w:beforeAutospacing="0" w:after="0" w:afterAutospacing="0" w:line="360" w:lineRule="auto"/>
        <w:ind w:firstLine="480"/>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（一）具有独立承担民事责任的能力； 　　</w:t>
      </w:r>
    </w:p>
    <w:p>
      <w:pPr>
        <w:pStyle w:val="35"/>
        <w:spacing w:before="0" w:beforeAutospacing="0" w:after="0" w:afterAutospacing="0" w:line="360" w:lineRule="auto"/>
        <w:ind w:firstLine="480"/>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（二）具有良好的商业信誉和健全的财务会计制度； 　</w:t>
      </w:r>
    </w:p>
    <w:p>
      <w:pPr>
        <w:pStyle w:val="35"/>
        <w:spacing w:before="0" w:beforeAutospacing="0" w:after="0" w:afterAutospacing="0" w:line="360" w:lineRule="auto"/>
        <w:ind w:firstLine="480"/>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（三）具有履行合同所必需的设备和专业技术能力； 　　</w:t>
      </w:r>
    </w:p>
    <w:p>
      <w:pPr>
        <w:pStyle w:val="35"/>
        <w:spacing w:before="0" w:beforeAutospacing="0" w:after="0" w:afterAutospacing="0" w:line="360" w:lineRule="auto"/>
        <w:ind w:firstLine="480"/>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（四）有依法缴纳税收和社会保障资金的良好记录； 　　</w:t>
      </w:r>
    </w:p>
    <w:p>
      <w:pPr>
        <w:pStyle w:val="35"/>
        <w:spacing w:before="0" w:beforeAutospacing="0" w:after="0" w:afterAutospacing="0" w:line="360" w:lineRule="auto"/>
        <w:ind w:firstLine="480"/>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（五）参加政府采购活动前三年内，在经营活动中没有重大违法记录；</w:t>
      </w:r>
    </w:p>
    <w:p>
      <w:pPr>
        <w:pStyle w:val="35"/>
        <w:spacing w:before="0" w:beforeAutospacing="0" w:after="0" w:afterAutospacing="0" w:line="360" w:lineRule="auto"/>
        <w:ind w:firstLine="480"/>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（六）法律、行政法规规定的其他条件；</w:t>
      </w:r>
    </w:p>
    <w:p>
      <w:pPr>
        <w:pStyle w:val="35"/>
        <w:spacing w:before="0" w:beforeAutospacing="0" w:after="0" w:afterAutospacing="0" w:line="360" w:lineRule="auto"/>
        <w:ind w:firstLine="480"/>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（七）根据采购项目提出的特殊条件。</w:t>
      </w:r>
    </w:p>
    <w:p>
      <w:pPr>
        <w:pStyle w:val="35"/>
        <w:spacing w:before="0" w:beforeAutospacing="0" w:after="0" w:afterAutospacing="0" w:line="360" w:lineRule="auto"/>
        <w:ind w:firstLine="480"/>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二、完全接受和满足本项目磋商文件中规定的实质性要求，如对磋商文件有异议，已经在投标截止时间届满前依法进行维权救济，不存在对磋商文件有异议的同时又参加磋商以求侥幸中标或者为实现其他非法目的的行为。</w:t>
      </w:r>
    </w:p>
    <w:p>
      <w:pPr>
        <w:pStyle w:val="35"/>
        <w:spacing w:before="0" w:beforeAutospacing="0" w:after="0" w:afterAutospacing="0" w:line="360" w:lineRule="auto"/>
        <w:ind w:firstLine="480"/>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三、参加本次采购活动，不存在与单位负责人为同一人或者存在直接控股、管理关系的其他供应商参与同一合同项下的政府采购活动的行为。    </w:t>
      </w:r>
    </w:p>
    <w:p>
      <w:pPr>
        <w:pStyle w:val="35"/>
        <w:spacing w:before="0" w:beforeAutospacing="0" w:after="0" w:afterAutospacing="0" w:line="360" w:lineRule="auto"/>
        <w:ind w:firstLine="480"/>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四、参加本次采购活动，不存在为采购项目提供整体设计、规范编制或者项目管理、监理、检测等服务的行为。</w:t>
      </w:r>
    </w:p>
    <w:p>
      <w:pPr>
        <w:pStyle w:val="35"/>
        <w:spacing w:before="0" w:beforeAutospacing="0" w:after="0" w:afterAutospacing="0" w:line="360" w:lineRule="auto"/>
        <w:ind w:firstLine="480"/>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五、参加本次采购活动，不存在和其他供应商在同一合同项下的采购项目中，同时委托同一个自然人、同一家庭的人员、同一单位的人员作为代理人的行为。</w:t>
      </w:r>
    </w:p>
    <w:p>
      <w:pPr>
        <w:pStyle w:val="35"/>
        <w:spacing w:before="0" w:beforeAutospacing="0" w:after="0" w:afterAutospacing="0" w:line="360" w:lineRule="auto"/>
        <w:ind w:firstLine="480"/>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六、供应商参加本次政府采购活动要求在近三年内供应商和其法定代表人没有行贿犯罪行为。</w:t>
      </w:r>
    </w:p>
    <w:p>
      <w:pPr>
        <w:pStyle w:val="35"/>
        <w:spacing w:before="0" w:beforeAutospacing="0" w:after="0" w:afterAutospacing="0" w:line="360" w:lineRule="auto"/>
        <w:ind w:firstLine="480"/>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七、参加本次采购活动，不存在联合体投标。</w:t>
      </w:r>
    </w:p>
    <w:p>
      <w:pPr>
        <w:pStyle w:val="35"/>
        <w:spacing w:before="0" w:beforeAutospacing="0" w:after="0" w:afterAutospacing="0" w:line="360" w:lineRule="auto"/>
        <w:ind w:firstLine="480"/>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八、响应文件中提供的能够给予我公司带来优惠、好处的任何材料资料和技术、服务、商务等响应承诺情况都是真实的、有效的、合法的。</w:t>
      </w:r>
    </w:p>
    <w:p>
      <w:pPr>
        <w:pStyle w:val="35"/>
        <w:spacing w:before="0" w:beforeAutospacing="0" w:after="0" w:afterAutospacing="0" w:line="360" w:lineRule="auto"/>
        <w:jc w:val="both"/>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    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pStyle w:val="35"/>
        <w:spacing w:before="0" w:beforeAutospacing="0" w:after="0" w:afterAutospacing="0" w:line="360" w:lineRule="auto"/>
        <w:jc w:val="both"/>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    十、存在以下行为之一的愿意接受相关部门的处理：</w:t>
      </w:r>
    </w:p>
    <w:p>
      <w:pPr>
        <w:pStyle w:val="35"/>
        <w:spacing w:before="0" w:beforeAutospacing="0" w:after="0" w:afterAutospacing="0" w:line="360" w:lineRule="auto"/>
        <w:jc w:val="both"/>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   （一）投标有效期内撤销投标文件的；</w:t>
      </w:r>
    </w:p>
    <w:p>
      <w:pPr>
        <w:pStyle w:val="35"/>
        <w:spacing w:before="0" w:beforeAutospacing="0" w:after="0" w:afterAutospacing="0" w:line="360" w:lineRule="auto"/>
        <w:jc w:val="both"/>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   （二）在采购人确定成交人以前放弃中标候选资格的；</w:t>
      </w:r>
    </w:p>
    <w:p>
      <w:pPr>
        <w:pStyle w:val="35"/>
        <w:spacing w:before="0" w:beforeAutospacing="0" w:after="0" w:afterAutospacing="0" w:line="360" w:lineRule="auto"/>
        <w:jc w:val="both"/>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   （三）由于成交人的原因未能按照磋商文件的规定与采购人签订合同；</w:t>
      </w:r>
    </w:p>
    <w:p>
      <w:pPr>
        <w:pStyle w:val="35"/>
        <w:spacing w:before="0" w:beforeAutospacing="0" w:after="0" w:afterAutospacing="0" w:line="360" w:lineRule="auto"/>
        <w:jc w:val="both"/>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   （四）由于成交人的原因未能按照磋商文件的规定交纳履约保证金；</w:t>
      </w:r>
    </w:p>
    <w:p>
      <w:pPr>
        <w:pStyle w:val="35"/>
        <w:spacing w:before="0" w:beforeAutospacing="0" w:after="0" w:afterAutospacing="0" w:line="360" w:lineRule="auto"/>
        <w:jc w:val="both"/>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   （五）在响应文件中提供虚假材料谋取中标；</w:t>
      </w:r>
    </w:p>
    <w:p>
      <w:pPr>
        <w:pStyle w:val="35"/>
        <w:spacing w:before="0" w:beforeAutospacing="0" w:after="0" w:afterAutospacing="0" w:line="360" w:lineRule="auto"/>
        <w:jc w:val="both"/>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   （六）与采购人、其他供应商或者采购代理机构恶意串通的；</w:t>
      </w:r>
    </w:p>
    <w:p>
      <w:pPr>
        <w:pStyle w:val="35"/>
        <w:spacing w:before="0" w:beforeAutospacing="0" w:after="0" w:afterAutospacing="0" w:line="360" w:lineRule="auto"/>
        <w:jc w:val="both"/>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   （七）投标有效期内，供应商在政府采购活动中有违法、违规、违纪行为。</w:t>
      </w:r>
    </w:p>
    <w:p>
      <w:pPr>
        <w:pStyle w:val="35"/>
        <w:spacing w:before="0" w:beforeAutospacing="0" w:after="0" w:afterAutospacing="0" w:line="360" w:lineRule="auto"/>
        <w:jc w:val="both"/>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 由此产生的一切法律后果和责任由我公司承担。我公司声明放弃对此提出任何异议和追索的权利。</w:t>
      </w:r>
    </w:p>
    <w:p>
      <w:pPr>
        <w:pStyle w:val="35"/>
        <w:spacing w:before="0" w:beforeAutospacing="0" w:after="0" w:afterAutospacing="0" w:line="360" w:lineRule="auto"/>
        <w:ind w:firstLine="690"/>
        <w:jc w:val="both"/>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本公司对上述承诺的内容事项真实性负责。如经查实上述承诺的内容事项存在虚假，我公司愿意接受以提供虚假材料谋取中标追究法律责任。</w:t>
      </w:r>
    </w:p>
    <w:p>
      <w:pPr>
        <w:pStyle w:val="35"/>
        <w:spacing w:before="0" w:beforeAutospacing="0" w:after="0" w:afterAutospacing="0" w:line="360" w:lineRule="auto"/>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       </w:t>
      </w:r>
    </w:p>
    <w:p>
      <w:pPr>
        <w:pStyle w:val="35"/>
        <w:spacing w:before="0" w:beforeAutospacing="0" w:after="0" w:afterAutospacing="0" w:line="360" w:lineRule="auto"/>
        <w:ind w:firstLine="465"/>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供应商名称：</w:t>
      </w:r>
      <w:r>
        <w:rPr>
          <w:rFonts w:hint="eastAsia" w:asciiTheme="minorEastAsia" w:hAnsiTheme="minorEastAsia" w:eastAsiaTheme="minorEastAsia"/>
          <w:color w:val="auto"/>
          <w:spacing w:val="7"/>
          <w:u w:val="single"/>
        </w:rPr>
        <w:t>                  </w:t>
      </w:r>
      <w:r>
        <w:rPr>
          <w:rFonts w:hint="eastAsia" w:asciiTheme="minorEastAsia" w:hAnsiTheme="minorEastAsia" w:eastAsiaTheme="minorEastAsia"/>
          <w:color w:val="auto"/>
          <w:spacing w:val="7"/>
        </w:rPr>
        <w:t>（盖章）</w:t>
      </w:r>
    </w:p>
    <w:p>
      <w:pPr>
        <w:pStyle w:val="35"/>
        <w:spacing w:before="0" w:beforeAutospacing="0" w:after="0" w:afterAutospacing="0" w:line="360" w:lineRule="auto"/>
        <w:ind w:firstLine="465"/>
        <w:rPr>
          <w:rFonts w:asciiTheme="minorEastAsia" w:hAnsiTheme="minorEastAsia" w:eastAsiaTheme="minorEastAsia"/>
          <w:color w:val="auto"/>
          <w:spacing w:val="7"/>
          <w:sz w:val="26"/>
          <w:szCs w:val="26"/>
        </w:rPr>
      </w:pPr>
      <w:r>
        <w:rPr>
          <w:rFonts w:hint="eastAsia" w:asciiTheme="minorEastAsia" w:hAnsiTheme="minorEastAsia" w:eastAsiaTheme="minorEastAsia"/>
          <w:color w:val="auto"/>
          <w:spacing w:val="7"/>
        </w:rPr>
        <w:t>法定代表人或授权代表：</w:t>
      </w:r>
      <w:r>
        <w:rPr>
          <w:rFonts w:hint="eastAsia" w:asciiTheme="minorEastAsia" w:hAnsiTheme="minorEastAsia" w:eastAsiaTheme="minorEastAsia"/>
          <w:color w:val="auto"/>
          <w:spacing w:val="7"/>
          <w:u w:val="single"/>
        </w:rPr>
        <w:t>             </w:t>
      </w:r>
      <w:r>
        <w:rPr>
          <w:rFonts w:hint="eastAsia" w:asciiTheme="minorEastAsia" w:hAnsiTheme="minorEastAsia" w:eastAsiaTheme="minorEastAsia"/>
          <w:color w:val="auto"/>
          <w:spacing w:val="7"/>
        </w:rPr>
        <w:t>（签字或盖章）</w:t>
      </w:r>
    </w:p>
    <w:p>
      <w:pPr>
        <w:spacing w:line="360" w:lineRule="auto"/>
        <w:ind w:firstLine="508" w:firstLineChars="200"/>
        <w:rPr>
          <w:rFonts w:ascii="宋体" w:hAnsi="宋体"/>
          <w:color w:val="auto"/>
          <w:szCs w:val="21"/>
        </w:rPr>
      </w:pPr>
      <w:r>
        <w:rPr>
          <w:rFonts w:hint="eastAsia" w:asciiTheme="minorEastAsia" w:hAnsiTheme="minorEastAsia" w:eastAsiaTheme="minorEastAsia"/>
          <w:color w:val="auto"/>
          <w:spacing w:val="7"/>
          <w:sz w:val="24"/>
        </w:rPr>
        <w:t>日期：</w:t>
      </w:r>
      <w:r>
        <w:rPr>
          <w:rFonts w:hint="eastAsia" w:asciiTheme="minorEastAsia" w:hAnsiTheme="minorEastAsia" w:eastAsiaTheme="minorEastAsia"/>
          <w:color w:val="auto"/>
          <w:spacing w:val="7"/>
          <w:u w:val="single"/>
        </w:rPr>
        <w:t>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rPr>
          <w:color w:val="auto"/>
        </w:rPr>
      </w:pPr>
    </w:p>
    <w:p>
      <w:pPr>
        <w:rPr>
          <w:color w:val="auto"/>
        </w:rPr>
      </w:pPr>
    </w:p>
    <w:p>
      <w:pPr>
        <w:pStyle w:val="4"/>
        <w:spacing w:before="120" w:after="120"/>
        <w:jc w:val="center"/>
        <w:rPr>
          <w:rFonts w:ascii="宋体" w:hAnsi="宋体" w:eastAsia="宋体"/>
          <w:color w:val="auto"/>
          <w:sz w:val="28"/>
          <w:szCs w:val="28"/>
        </w:rPr>
      </w:pPr>
      <w:bookmarkStart w:id="738" w:name="_Toc466298164"/>
      <w:bookmarkStart w:id="739" w:name="_Toc22114903"/>
      <w:bookmarkStart w:id="740" w:name="_Toc425752591"/>
      <w:bookmarkStart w:id="741" w:name="_Toc441791193"/>
      <w:r>
        <w:rPr>
          <w:rFonts w:hint="eastAsia" w:ascii="宋体" w:hAnsi="宋体" w:eastAsia="宋体"/>
          <w:color w:val="auto"/>
          <w:szCs w:val="28"/>
          <w:lang w:eastAsia="zh-CN"/>
        </w:rPr>
        <w:t>五</w:t>
      </w:r>
      <w:r>
        <w:rPr>
          <w:rFonts w:hint="eastAsia" w:ascii="宋体" w:hAnsi="宋体" w:eastAsia="宋体"/>
          <w:color w:val="auto"/>
          <w:szCs w:val="28"/>
        </w:rPr>
        <w:t>.资格声明函</w:t>
      </w:r>
      <w:bookmarkEnd w:id="738"/>
      <w:bookmarkEnd w:id="739"/>
      <w:bookmarkEnd w:id="740"/>
    </w:p>
    <w:p>
      <w:pPr>
        <w:spacing w:line="600" w:lineRule="exact"/>
        <w:ind w:firstLine="240" w:firstLineChars="100"/>
        <w:rPr>
          <w:rFonts w:ascii="宋体" w:hAnsi="宋体"/>
          <w:color w:val="auto"/>
          <w:sz w:val="24"/>
        </w:rPr>
      </w:pPr>
      <w:r>
        <w:rPr>
          <w:rFonts w:hint="eastAsia" w:ascii="宋体" w:hAnsi="宋体"/>
          <w:color w:val="auto"/>
          <w:sz w:val="24"/>
          <w:u w:val="single"/>
          <w:lang w:eastAsia="zh-CN"/>
        </w:rPr>
        <w:t>郑州市教育局</w:t>
      </w:r>
      <w:r>
        <w:rPr>
          <w:rFonts w:hint="eastAsia" w:ascii="宋体" w:hAnsi="宋体"/>
          <w:color w:val="auto"/>
          <w:sz w:val="24"/>
        </w:rPr>
        <w:t>：</w:t>
      </w:r>
    </w:p>
    <w:p>
      <w:pPr>
        <w:spacing w:line="600" w:lineRule="exact"/>
        <w:ind w:firstLine="640"/>
        <w:rPr>
          <w:rFonts w:ascii="宋体" w:hAnsi="宋体"/>
          <w:color w:val="auto"/>
          <w:sz w:val="24"/>
        </w:rPr>
      </w:pPr>
      <w:r>
        <w:rPr>
          <w:rFonts w:hint="eastAsia" w:ascii="宋体" w:hAnsi="宋体"/>
          <w:color w:val="auto"/>
          <w:sz w:val="24"/>
        </w:rPr>
        <w:t>我方接受贵方的邀请，自愿参加竞争性磋商响应，现递交下列文件并保证所有陈述是正确、有效的：</w:t>
      </w:r>
    </w:p>
    <w:p>
      <w:pPr>
        <w:spacing w:line="600" w:lineRule="exact"/>
        <w:ind w:left="431"/>
        <w:rPr>
          <w:rFonts w:ascii="宋体" w:hAnsi="宋体"/>
          <w:color w:val="auto"/>
          <w:sz w:val="24"/>
        </w:rPr>
      </w:pPr>
      <w:r>
        <w:rPr>
          <w:rFonts w:hint="eastAsia" w:ascii="宋体" w:hAnsi="宋体"/>
          <w:color w:val="auto"/>
          <w:sz w:val="24"/>
        </w:rPr>
        <w:t>1、法定代表人授权书（原件）；</w:t>
      </w:r>
    </w:p>
    <w:p>
      <w:pPr>
        <w:spacing w:line="600" w:lineRule="exact"/>
        <w:ind w:left="431"/>
        <w:rPr>
          <w:rFonts w:ascii="宋体" w:hAnsi="宋体"/>
          <w:color w:val="auto"/>
          <w:sz w:val="24"/>
        </w:rPr>
      </w:pPr>
      <w:r>
        <w:rPr>
          <w:rFonts w:hint="eastAsia" w:ascii="宋体" w:hAnsi="宋体"/>
          <w:color w:val="auto"/>
          <w:sz w:val="24"/>
        </w:rPr>
        <w:t>2、工商局颁发的营业执照副本复印件；</w:t>
      </w:r>
    </w:p>
    <w:p>
      <w:pPr>
        <w:spacing w:line="600" w:lineRule="exact"/>
        <w:ind w:left="431"/>
        <w:rPr>
          <w:rFonts w:ascii="宋体" w:hAnsi="宋体"/>
          <w:color w:val="auto"/>
          <w:sz w:val="24"/>
        </w:rPr>
      </w:pPr>
      <w:r>
        <w:rPr>
          <w:rFonts w:hint="eastAsia" w:ascii="宋体" w:hAnsi="宋体"/>
          <w:color w:val="auto"/>
          <w:sz w:val="24"/>
        </w:rPr>
        <w:t>3、缴纳税收证明材料</w:t>
      </w:r>
      <w:r>
        <w:rPr>
          <w:rFonts w:hint="eastAsia" w:ascii="宋体" w:hAnsi="宋体"/>
          <w:color w:val="auto"/>
          <w:sz w:val="24"/>
          <w:lang w:eastAsia="zh-CN"/>
        </w:rPr>
        <w:t>（</w:t>
      </w:r>
      <w:r>
        <w:rPr>
          <w:rFonts w:hint="eastAsia" w:ascii="宋体" w:hAnsi="宋体"/>
          <w:color w:val="auto"/>
          <w:sz w:val="24"/>
          <w:lang w:val="en-US" w:eastAsia="zh-CN"/>
        </w:rPr>
        <w:t>2020年1月以来任意三个月</w:t>
      </w:r>
      <w:r>
        <w:rPr>
          <w:rFonts w:hint="eastAsia" w:ascii="宋体" w:hAnsi="宋体"/>
          <w:color w:val="auto"/>
          <w:sz w:val="24"/>
          <w:lang w:eastAsia="zh-CN"/>
        </w:rPr>
        <w:t>）</w:t>
      </w:r>
      <w:r>
        <w:rPr>
          <w:rFonts w:hint="eastAsia" w:ascii="宋体" w:hAnsi="宋体"/>
          <w:color w:val="auto"/>
          <w:sz w:val="24"/>
        </w:rPr>
        <w:t>；</w:t>
      </w:r>
    </w:p>
    <w:p>
      <w:pPr>
        <w:spacing w:line="600" w:lineRule="exact"/>
        <w:ind w:left="431"/>
        <w:rPr>
          <w:rFonts w:ascii="宋体" w:hAnsi="宋体"/>
          <w:color w:val="auto"/>
          <w:sz w:val="24"/>
        </w:rPr>
      </w:pPr>
      <w:r>
        <w:rPr>
          <w:rFonts w:hint="eastAsia" w:ascii="宋体" w:hAnsi="宋体"/>
          <w:color w:val="auto"/>
          <w:sz w:val="24"/>
        </w:rPr>
        <w:t>4、财务状况报告证明材料</w:t>
      </w:r>
      <w:r>
        <w:rPr>
          <w:rFonts w:hint="eastAsia" w:ascii="宋体" w:hAnsi="宋体"/>
          <w:color w:val="auto"/>
          <w:sz w:val="24"/>
          <w:lang w:eastAsia="zh-CN"/>
        </w:rPr>
        <w:t>（提供</w:t>
      </w:r>
      <w:r>
        <w:rPr>
          <w:rFonts w:hint="eastAsia" w:ascii="宋体" w:hAnsi="宋体"/>
          <w:color w:val="auto"/>
          <w:sz w:val="24"/>
          <w:lang w:val="en-US" w:eastAsia="zh-CN"/>
        </w:rPr>
        <w:t>2018年度或2019年度审计报告</w:t>
      </w:r>
      <w:r>
        <w:rPr>
          <w:rFonts w:hint="eastAsia" w:ascii="宋体" w:hAnsi="宋体"/>
          <w:color w:val="auto"/>
          <w:sz w:val="24"/>
          <w:lang w:eastAsia="zh-CN"/>
        </w:rPr>
        <w:t>）</w:t>
      </w:r>
      <w:r>
        <w:rPr>
          <w:rFonts w:hint="eastAsia" w:ascii="宋体" w:hAnsi="宋体"/>
          <w:color w:val="auto"/>
          <w:sz w:val="24"/>
        </w:rPr>
        <w:t>；</w:t>
      </w:r>
    </w:p>
    <w:p>
      <w:pPr>
        <w:spacing w:line="600" w:lineRule="exact"/>
        <w:ind w:left="431"/>
        <w:rPr>
          <w:rFonts w:ascii="宋体" w:hAnsi="宋体"/>
          <w:color w:val="auto"/>
          <w:sz w:val="24"/>
        </w:rPr>
      </w:pPr>
      <w:r>
        <w:rPr>
          <w:rFonts w:hint="eastAsia" w:ascii="宋体" w:hAnsi="宋体"/>
          <w:color w:val="auto"/>
          <w:sz w:val="24"/>
        </w:rPr>
        <w:t>5、社会保障资金缴纳证明材料（专用收据或社会保险缴纳清单）；</w:t>
      </w:r>
      <w:r>
        <w:rPr>
          <w:rFonts w:hint="eastAsia" w:ascii="宋体" w:hAnsi="宋体"/>
          <w:color w:val="auto"/>
          <w:sz w:val="24"/>
          <w:lang w:eastAsia="zh-CN"/>
        </w:rPr>
        <w:t>（</w:t>
      </w:r>
      <w:r>
        <w:rPr>
          <w:rFonts w:hint="eastAsia" w:ascii="宋体" w:hAnsi="宋体"/>
          <w:color w:val="auto"/>
          <w:sz w:val="24"/>
          <w:lang w:val="en-US" w:eastAsia="zh-CN"/>
        </w:rPr>
        <w:t>2020年1月以来任意三个月</w:t>
      </w:r>
      <w:r>
        <w:rPr>
          <w:rFonts w:hint="eastAsia" w:ascii="宋体" w:hAnsi="宋体"/>
          <w:color w:val="auto"/>
          <w:sz w:val="24"/>
          <w:lang w:eastAsia="zh-CN"/>
        </w:rPr>
        <w:t>）</w:t>
      </w:r>
    </w:p>
    <w:p>
      <w:pPr>
        <w:spacing w:line="600" w:lineRule="exact"/>
        <w:ind w:left="431"/>
        <w:rPr>
          <w:rFonts w:hint="eastAsia" w:ascii="宋体" w:hAnsi="宋体" w:eastAsia="宋体"/>
          <w:color w:val="auto"/>
          <w:sz w:val="24"/>
          <w:lang w:eastAsia="zh-CN"/>
        </w:rPr>
      </w:pPr>
      <w:r>
        <w:rPr>
          <w:rFonts w:hint="eastAsia" w:ascii="宋体" w:hAnsi="宋体"/>
          <w:color w:val="auto"/>
          <w:sz w:val="24"/>
        </w:rPr>
        <w:t>6、具有履行合同所必需的设备和专业技术能力</w:t>
      </w:r>
      <w:r>
        <w:rPr>
          <w:rFonts w:hint="eastAsia" w:ascii="宋体" w:hAnsi="宋体"/>
          <w:color w:val="auto"/>
          <w:sz w:val="24"/>
          <w:lang w:eastAsia="zh-CN"/>
        </w:rPr>
        <w:t>（自行承诺格式自拟）</w:t>
      </w:r>
    </w:p>
    <w:p>
      <w:pPr>
        <w:spacing w:line="600" w:lineRule="exact"/>
        <w:ind w:left="431"/>
        <w:rPr>
          <w:rFonts w:ascii="宋体" w:hAnsi="宋体"/>
          <w:color w:val="auto"/>
          <w:sz w:val="24"/>
        </w:rPr>
      </w:pPr>
      <w:r>
        <w:rPr>
          <w:rFonts w:hint="eastAsia" w:ascii="宋体" w:hAnsi="宋体"/>
          <w:color w:val="auto"/>
          <w:sz w:val="24"/>
        </w:rPr>
        <w:t>7、参加政府采购活动前三年内，在经营活动中没有重大违法记录的声明；</w:t>
      </w:r>
    </w:p>
    <w:p>
      <w:pPr>
        <w:spacing w:line="600" w:lineRule="exact"/>
        <w:ind w:left="431"/>
        <w:rPr>
          <w:rFonts w:ascii="宋体" w:hAnsi="宋体"/>
          <w:color w:val="auto"/>
          <w:sz w:val="24"/>
        </w:rPr>
      </w:pPr>
      <w:r>
        <w:rPr>
          <w:rFonts w:hint="eastAsia" w:ascii="宋体" w:hAnsi="宋体"/>
          <w:color w:val="auto"/>
          <w:sz w:val="24"/>
          <w:lang w:val="en-US" w:eastAsia="zh-CN"/>
        </w:rPr>
        <w:t>8、</w:t>
      </w:r>
      <w:r>
        <w:rPr>
          <w:rFonts w:hint="eastAsia" w:ascii="宋体" w:hAnsi="宋体"/>
          <w:color w:val="auto"/>
          <w:sz w:val="24"/>
        </w:rPr>
        <w:t>信用记录查询【在 “信用中国”网站中查询“失信被执行人”和 “重大税收违法案件当事人名单”（http://www.creditchina.gov.cn/），以及在“中国政府采购网”网站中查询“政府采购严重违法失信行为记录名单” （www.ccgp.gov.cn）的查询结果网页打印件并加盖公章】；</w:t>
      </w:r>
    </w:p>
    <w:p>
      <w:pPr>
        <w:spacing w:line="600" w:lineRule="exact"/>
        <w:ind w:left="431"/>
        <w:rPr>
          <w:rFonts w:hint="eastAsia" w:ascii="宋体" w:hAnsi="宋体" w:eastAsia="宋体"/>
          <w:color w:val="auto"/>
          <w:sz w:val="24"/>
          <w:lang w:eastAsia="zh-CN"/>
        </w:rPr>
      </w:pPr>
      <w:r>
        <w:rPr>
          <w:rFonts w:hint="eastAsia" w:ascii="宋体" w:hAnsi="宋体"/>
          <w:color w:val="auto"/>
          <w:sz w:val="24"/>
          <w:lang w:val="en-US" w:eastAsia="zh-CN"/>
        </w:rPr>
        <w:t>9</w:t>
      </w:r>
      <w:r>
        <w:rPr>
          <w:rFonts w:hint="eastAsia" w:ascii="宋体" w:hAnsi="宋体"/>
          <w:color w:val="auto"/>
          <w:sz w:val="24"/>
        </w:rPr>
        <w:t>、单位负责人为同一人或者存在控股、管理关系的不同单位，不得参加同一标段投标或者未划分标段的同一招标项目投标。</w:t>
      </w:r>
      <w:r>
        <w:rPr>
          <w:rFonts w:hint="eastAsia" w:ascii="宋体" w:hAnsi="宋体"/>
          <w:color w:val="auto"/>
          <w:sz w:val="24"/>
          <w:lang w:eastAsia="zh-CN"/>
        </w:rPr>
        <w:t>（（提供加盖投标人公章的“全国企业信用信息公示系统”中公示的公司信息、股东或投资人信息）；）</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                  法定代表人（签字或盖章）：</w:t>
      </w:r>
    </w:p>
    <w:p>
      <w:pPr>
        <w:spacing w:line="520" w:lineRule="exact"/>
        <w:rPr>
          <w:rFonts w:ascii="宋体" w:hAnsi="宋体"/>
          <w:color w:val="auto"/>
          <w:sz w:val="24"/>
        </w:rPr>
      </w:pPr>
      <w:r>
        <w:rPr>
          <w:rFonts w:hint="eastAsia" w:ascii="宋体" w:hAnsi="宋体"/>
          <w:color w:val="auto"/>
          <w:sz w:val="24"/>
        </w:rPr>
        <w:t>地址：                      邮政编码：</w:t>
      </w:r>
    </w:p>
    <w:p>
      <w:pPr>
        <w:spacing w:line="520" w:lineRule="exact"/>
        <w:rPr>
          <w:rFonts w:ascii="宋体" w:hAnsi="宋体"/>
          <w:color w:val="auto"/>
          <w:sz w:val="24"/>
        </w:rPr>
      </w:pPr>
      <w:r>
        <w:rPr>
          <w:rFonts w:hint="eastAsia" w:ascii="宋体" w:hAnsi="宋体"/>
          <w:color w:val="auto"/>
          <w:sz w:val="24"/>
        </w:rPr>
        <w:t>法定代表人授权人(签字或盖章)：</w:t>
      </w:r>
    </w:p>
    <w:p>
      <w:pPr>
        <w:spacing w:line="520" w:lineRule="exact"/>
        <w:rPr>
          <w:rFonts w:ascii="宋体" w:hAnsi="宋体"/>
          <w:color w:val="auto"/>
          <w:sz w:val="24"/>
        </w:rPr>
      </w:pPr>
      <w:r>
        <w:rPr>
          <w:rFonts w:hint="eastAsia" w:ascii="宋体" w:hAnsi="宋体"/>
          <w:color w:val="auto"/>
          <w:sz w:val="24"/>
        </w:rPr>
        <w:t xml:space="preserve">电话：           传真：    </w:t>
      </w:r>
    </w:p>
    <w:p>
      <w:pPr>
        <w:spacing w:line="520" w:lineRule="exact"/>
        <w:rPr>
          <w:rFonts w:ascii="宋体" w:hAnsi="宋体"/>
          <w:color w:val="auto"/>
          <w:sz w:val="24"/>
        </w:rPr>
      </w:pPr>
      <w:r>
        <w:rPr>
          <w:rFonts w:hint="eastAsia" w:ascii="宋体" w:hAnsi="宋体"/>
          <w:color w:val="auto"/>
          <w:sz w:val="24"/>
        </w:rPr>
        <w:t>时间：20</w:t>
      </w:r>
      <w:r>
        <w:rPr>
          <w:rFonts w:hint="eastAsia" w:ascii="宋体" w:hAnsi="宋体"/>
          <w:color w:val="auto"/>
          <w:sz w:val="24"/>
          <w:lang w:val="en-US" w:eastAsia="zh-CN"/>
        </w:rPr>
        <w:t>20</w:t>
      </w:r>
      <w:r>
        <w:rPr>
          <w:rFonts w:hint="eastAsia" w:ascii="宋体" w:hAnsi="宋体"/>
          <w:color w:val="auto"/>
          <w:sz w:val="24"/>
        </w:rPr>
        <w:t>年  月  日</w:t>
      </w:r>
    </w:p>
    <w:p>
      <w:pPr>
        <w:spacing w:line="520" w:lineRule="exact"/>
        <w:rPr>
          <w:rFonts w:ascii="宋体" w:hAnsi="宋体"/>
          <w:b/>
          <w:color w:val="auto"/>
          <w:sz w:val="24"/>
        </w:rPr>
      </w:pPr>
      <w:r>
        <w:rPr>
          <w:rFonts w:hint="eastAsia" w:ascii="宋体" w:hAnsi="宋体"/>
          <w:b/>
          <w:color w:val="auto"/>
          <w:sz w:val="24"/>
        </w:rPr>
        <w:t>（以上要求的内容请附后）</w:t>
      </w:r>
    </w:p>
    <w:p>
      <w:pPr>
        <w:pStyle w:val="4"/>
        <w:jc w:val="center"/>
        <w:rPr>
          <w:rFonts w:ascii="宋体" w:hAnsi="宋体" w:eastAsia="宋体"/>
          <w:color w:val="auto"/>
          <w:sz w:val="28"/>
          <w:szCs w:val="28"/>
        </w:rPr>
      </w:pPr>
      <w:r>
        <w:rPr>
          <w:color w:val="auto"/>
          <w:szCs w:val="21"/>
        </w:rPr>
        <w:br w:type="page"/>
      </w:r>
      <w:bookmarkEnd w:id="734"/>
      <w:bookmarkEnd w:id="741"/>
      <w:bookmarkStart w:id="742" w:name="_Toc466298170"/>
      <w:bookmarkStart w:id="743" w:name="_Toc425752595"/>
      <w:bookmarkStart w:id="744" w:name="_Toc22114905"/>
      <w:r>
        <w:rPr>
          <w:rFonts w:hint="eastAsia" w:ascii="宋体" w:hAnsi="宋体" w:eastAsia="宋体"/>
          <w:color w:val="auto"/>
          <w:szCs w:val="28"/>
          <w:lang w:eastAsia="zh-CN"/>
        </w:rPr>
        <w:t>六</w:t>
      </w:r>
      <w:r>
        <w:rPr>
          <w:rFonts w:hint="eastAsia" w:ascii="宋体" w:hAnsi="宋体" w:eastAsia="宋体"/>
          <w:color w:val="auto"/>
          <w:szCs w:val="28"/>
        </w:rPr>
        <w:t>、反商业贿赂承诺书</w:t>
      </w:r>
      <w:bookmarkEnd w:id="742"/>
      <w:bookmarkEnd w:id="743"/>
      <w:bookmarkEnd w:id="744"/>
    </w:p>
    <w:p>
      <w:pPr>
        <w:spacing w:line="600" w:lineRule="exact"/>
        <w:rPr>
          <w:rFonts w:ascii="宋体" w:hAnsi="宋体"/>
          <w:color w:val="auto"/>
          <w:sz w:val="24"/>
        </w:rPr>
      </w:pPr>
      <w:r>
        <w:rPr>
          <w:rFonts w:hint="eastAsia" w:ascii="宋体" w:hAnsi="宋体"/>
          <w:color w:val="auto"/>
          <w:sz w:val="24"/>
        </w:rPr>
        <w:t>我公司承诺：</w:t>
      </w:r>
    </w:p>
    <w:p>
      <w:pPr>
        <w:spacing w:line="600" w:lineRule="exact"/>
        <w:ind w:firstLine="480" w:firstLineChars="200"/>
        <w:rPr>
          <w:rFonts w:ascii="宋体" w:hAnsi="宋体"/>
          <w:color w:val="auto"/>
          <w:sz w:val="24"/>
        </w:rPr>
      </w:pPr>
      <w:r>
        <w:rPr>
          <w:rFonts w:hint="eastAsia" w:ascii="宋体" w:hAnsi="宋体"/>
          <w:color w:val="auto"/>
          <w:sz w:val="24"/>
        </w:rPr>
        <w:t>在本次磋商活动中，我公司保证做到：</w:t>
      </w:r>
    </w:p>
    <w:p>
      <w:pPr>
        <w:spacing w:line="600" w:lineRule="exact"/>
        <w:ind w:firstLine="480" w:firstLineChars="200"/>
        <w:rPr>
          <w:rFonts w:ascii="宋体" w:hAnsi="宋体"/>
          <w:color w:val="auto"/>
          <w:sz w:val="24"/>
        </w:rPr>
      </w:pPr>
      <w:r>
        <w:rPr>
          <w:rFonts w:hint="eastAsia" w:ascii="宋体" w:hAnsi="宋体"/>
          <w:color w:val="auto"/>
          <w:sz w:val="24"/>
        </w:rPr>
        <w:t>一、公平竞争参加本次磋商活动。</w:t>
      </w:r>
    </w:p>
    <w:p>
      <w:pPr>
        <w:spacing w:line="600" w:lineRule="exact"/>
        <w:ind w:firstLine="480" w:firstLineChars="200"/>
        <w:rPr>
          <w:rFonts w:ascii="宋体" w:hAnsi="宋体"/>
          <w:color w:val="auto"/>
          <w:sz w:val="24"/>
        </w:rPr>
      </w:pPr>
      <w:r>
        <w:rPr>
          <w:rFonts w:hint="eastAsia" w:ascii="宋体" w:hAnsi="宋体"/>
          <w:color w:val="auto"/>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600" w:lineRule="exact"/>
        <w:ind w:firstLine="480" w:firstLineChars="200"/>
        <w:rPr>
          <w:rFonts w:ascii="宋体" w:hAnsi="宋体"/>
          <w:color w:val="auto"/>
          <w:sz w:val="24"/>
        </w:rPr>
      </w:pPr>
      <w:r>
        <w:rPr>
          <w:rFonts w:hint="eastAsia" w:ascii="宋体" w:hAnsi="宋体"/>
          <w:color w:val="auto"/>
          <w:sz w:val="24"/>
        </w:rPr>
        <w:t>三、若出现上述行为，我公司及参与磋商的工作人员愿意接受按照国家法律法规等有关规定给予的处罚。</w:t>
      </w:r>
    </w:p>
    <w:p>
      <w:pPr>
        <w:spacing w:line="600" w:lineRule="exact"/>
        <w:rPr>
          <w:rFonts w:ascii="宋体" w:hAnsi="宋体"/>
          <w:color w:val="auto"/>
          <w:sz w:val="24"/>
        </w:rPr>
      </w:pPr>
    </w:p>
    <w:p>
      <w:pPr>
        <w:spacing w:line="600" w:lineRule="exact"/>
        <w:rPr>
          <w:rFonts w:ascii="宋体" w:hAnsi="宋体"/>
          <w:color w:val="auto"/>
          <w:sz w:val="24"/>
        </w:rPr>
      </w:pPr>
    </w:p>
    <w:p>
      <w:pPr>
        <w:spacing w:line="600" w:lineRule="exact"/>
        <w:rPr>
          <w:rFonts w:ascii="宋体" w:hAnsi="宋体"/>
          <w:color w:val="auto"/>
          <w:sz w:val="24"/>
        </w:rPr>
      </w:pPr>
    </w:p>
    <w:p>
      <w:pPr>
        <w:spacing w:line="600" w:lineRule="exact"/>
        <w:rPr>
          <w:rFonts w:ascii="宋体" w:hAnsi="宋体"/>
          <w:color w:val="auto"/>
          <w:sz w:val="24"/>
        </w:rPr>
      </w:pPr>
    </w:p>
    <w:p>
      <w:pPr>
        <w:spacing w:line="600" w:lineRule="exact"/>
        <w:jc w:val="center"/>
        <w:rPr>
          <w:rFonts w:ascii="宋体" w:hAnsi="宋体"/>
          <w:color w:val="auto"/>
          <w:sz w:val="24"/>
        </w:rPr>
      </w:pPr>
      <w:r>
        <w:rPr>
          <w:rFonts w:hint="eastAsia" w:ascii="宋体" w:hAnsi="宋体"/>
          <w:color w:val="auto"/>
          <w:sz w:val="24"/>
        </w:rPr>
        <w:t xml:space="preserve">                    法定代表人或其委托代理人：（签字或盖章）</w:t>
      </w:r>
    </w:p>
    <w:p>
      <w:pPr>
        <w:spacing w:line="600" w:lineRule="exact"/>
        <w:jc w:val="center"/>
        <w:rPr>
          <w:rFonts w:ascii="宋体" w:hAnsi="宋体"/>
          <w:color w:val="auto"/>
          <w:sz w:val="24"/>
        </w:rPr>
      </w:pPr>
      <w:r>
        <w:rPr>
          <w:rFonts w:hint="eastAsia" w:ascii="宋体" w:hAnsi="宋体"/>
          <w:color w:val="auto"/>
          <w:sz w:val="24"/>
        </w:rPr>
        <w:t xml:space="preserve">                     供应商名称：（盖单位公章）</w:t>
      </w:r>
    </w:p>
    <w:p>
      <w:pPr>
        <w:spacing w:line="600" w:lineRule="exact"/>
        <w:jc w:val="center"/>
        <w:rPr>
          <w:rFonts w:ascii="宋体" w:hAnsi="宋体"/>
          <w:color w:val="auto"/>
          <w:sz w:val="24"/>
        </w:rPr>
      </w:pPr>
      <w:r>
        <w:rPr>
          <w:rFonts w:hint="eastAsia" w:ascii="宋体" w:hAnsi="宋体"/>
          <w:color w:val="auto"/>
          <w:sz w:val="24"/>
        </w:rPr>
        <w:t xml:space="preserve">                                  年   月   日</w:t>
      </w:r>
    </w:p>
    <w:p>
      <w:pPr>
        <w:spacing w:line="600" w:lineRule="exact"/>
        <w:jc w:val="center"/>
        <w:rPr>
          <w:rFonts w:ascii="宋体" w:hAnsi="宋体"/>
          <w:color w:val="auto"/>
          <w:sz w:val="24"/>
        </w:rPr>
      </w:pPr>
    </w:p>
    <w:p>
      <w:pPr>
        <w:spacing w:line="600" w:lineRule="exact"/>
        <w:jc w:val="center"/>
        <w:rPr>
          <w:rFonts w:ascii="宋体" w:hAnsi="宋体"/>
          <w:color w:val="auto"/>
          <w:sz w:val="24"/>
        </w:rPr>
      </w:pPr>
    </w:p>
    <w:p>
      <w:pPr>
        <w:spacing w:line="600" w:lineRule="exact"/>
        <w:jc w:val="center"/>
        <w:rPr>
          <w:rFonts w:ascii="宋体" w:hAnsi="宋体"/>
          <w:color w:val="auto"/>
          <w:sz w:val="24"/>
        </w:rPr>
      </w:pPr>
    </w:p>
    <w:p>
      <w:pPr>
        <w:spacing w:line="600" w:lineRule="exact"/>
        <w:jc w:val="center"/>
        <w:rPr>
          <w:rFonts w:ascii="宋体" w:hAnsi="宋体"/>
          <w:color w:val="auto"/>
          <w:sz w:val="24"/>
        </w:rPr>
      </w:pPr>
    </w:p>
    <w:p>
      <w:pPr>
        <w:spacing w:line="600" w:lineRule="exact"/>
        <w:jc w:val="center"/>
        <w:rPr>
          <w:rFonts w:ascii="宋体" w:hAnsi="宋体"/>
          <w:color w:val="auto"/>
          <w:sz w:val="24"/>
        </w:rPr>
      </w:pPr>
    </w:p>
    <w:p>
      <w:pPr>
        <w:pStyle w:val="4"/>
        <w:jc w:val="center"/>
        <w:rPr>
          <w:rFonts w:ascii="Times New Roman" w:hAnsi="Times New Roman" w:eastAsia="宋体"/>
          <w:color w:val="auto"/>
        </w:rPr>
      </w:pPr>
      <w:bookmarkStart w:id="745" w:name="_Toc32379"/>
      <w:bookmarkStart w:id="746" w:name="_Toc22114906"/>
      <w:bookmarkStart w:id="747" w:name="_Toc234919397"/>
      <w:bookmarkStart w:id="748" w:name="_Toc248559955"/>
      <w:r>
        <w:rPr>
          <w:rFonts w:hint="eastAsia" w:ascii="宋体" w:hAnsi="宋体" w:eastAsia="宋体"/>
          <w:color w:val="auto"/>
          <w:sz w:val="28"/>
          <w:lang w:eastAsia="zh-CN"/>
        </w:rPr>
        <w:t>七</w:t>
      </w:r>
      <w:r>
        <w:rPr>
          <w:rFonts w:hint="eastAsia" w:ascii="宋体" w:hAnsi="宋体" w:eastAsia="宋体"/>
          <w:color w:val="auto"/>
          <w:sz w:val="28"/>
        </w:rPr>
        <w:t>、</w:t>
      </w:r>
      <w:bookmarkEnd w:id="745"/>
      <w:bookmarkEnd w:id="746"/>
      <w:bookmarkEnd w:id="747"/>
      <w:bookmarkEnd w:id="748"/>
      <w:bookmarkStart w:id="749" w:name="_Toc22114907"/>
      <w:r>
        <w:rPr>
          <w:rFonts w:hint="eastAsia" w:ascii="Times New Roman" w:hAnsi="Times New Roman" w:eastAsia="宋体"/>
          <w:color w:val="auto"/>
        </w:rPr>
        <w:t>中小微企业声明函</w:t>
      </w:r>
      <w:bookmarkEnd w:id="749"/>
    </w:p>
    <w:p>
      <w:pPr>
        <w:jc w:val="center"/>
        <w:rPr>
          <w:color w:val="auto"/>
          <w:sz w:val="24"/>
        </w:rPr>
      </w:pPr>
    </w:p>
    <w:p>
      <w:pPr>
        <w:jc w:val="center"/>
        <w:rPr>
          <w:color w:val="auto"/>
          <w:sz w:val="24"/>
        </w:rPr>
      </w:pPr>
      <w:r>
        <w:rPr>
          <w:rFonts w:hint="eastAsia"/>
          <w:color w:val="auto"/>
          <w:sz w:val="24"/>
        </w:rPr>
        <w:t>（属于中小微企业的填写，不属于的无需填写此项内容）</w:t>
      </w:r>
    </w:p>
    <w:p>
      <w:pPr>
        <w:pStyle w:val="35"/>
        <w:wordWrap w:val="0"/>
        <w:spacing w:line="432" w:lineRule="auto"/>
        <w:rPr>
          <w:rFonts w:cs="Times New Roman" w:asciiTheme="minorEastAsia" w:hAnsiTheme="minorEastAsia" w:eastAsiaTheme="minorEastAsia"/>
          <w:color w:val="auto"/>
          <w:kern w:val="2"/>
        </w:rPr>
      </w:pPr>
      <w:r>
        <w:rPr>
          <w:rFonts w:hint="eastAsia" w:ascii="Times New Roman" w:hAnsi="Times New Roman" w:cs="Times New Roman"/>
          <w:color w:val="auto"/>
          <w:kern w:val="2"/>
        </w:rPr>
        <w:t xml:space="preserve">     </w:t>
      </w:r>
      <w:r>
        <w:rPr>
          <w:rFonts w:cs="Times New Roman" w:asciiTheme="minorEastAsia" w:hAnsiTheme="minorEastAsia" w:eastAsiaTheme="minorEastAsia"/>
          <w:color w:val="auto"/>
          <w:kern w:val="2"/>
        </w:rPr>
        <w:t>本公司郑重声明，根据《政府采购促进中小</w:t>
      </w:r>
      <w:r>
        <w:rPr>
          <w:rFonts w:hint="eastAsia" w:cs="Times New Roman" w:asciiTheme="minorEastAsia" w:hAnsiTheme="minorEastAsia" w:eastAsiaTheme="minorEastAsia"/>
          <w:color w:val="auto"/>
          <w:kern w:val="2"/>
        </w:rPr>
        <w:t>微</w:t>
      </w:r>
      <w:r>
        <w:rPr>
          <w:rFonts w:cs="Times New Roman" w:asciiTheme="minorEastAsia" w:hAnsiTheme="minorEastAsia" w:eastAsiaTheme="minorEastAsia"/>
          <w:color w:val="auto"/>
          <w:kern w:val="2"/>
        </w:rPr>
        <w:t>企业发展暂行办法》（财库[2011]181号）的规定，本公司为______（请填写：中型、小型、微型）企业。即，本公司同时满足以下条件：</w:t>
      </w:r>
    </w:p>
    <w:p>
      <w:pPr>
        <w:pStyle w:val="35"/>
        <w:wordWrap w:val="0"/>
        <w:spacing w:line="432" w:lineRule="auto"/>
        <w:rPr>
          <w:rFonts w:cs="Times New Roman" w:asciiTheme="minorEastAsia" w:hAnsiTheme="minorEastAsia" w:eastAsiaTheme="minorEastAsia"/>
          <w:color w:val="auto"/>
          <w:kern w:val="2"/>
        </w:rPr>
      </w:pPr>
      <w:r>
        <w:rPr>
          <w:rFonts w:cs="Times New Roman" w:asciiTheme="minorEastAsia" w:hAnsiTheme="minorEastAsia" w:eastAsiaTheme="minorEastAsia"/>
          <w:color w:val="auto"/>
          <w:kern w:val="2"/>
        </w:rPr>
        <w:t>　　1.根据《工业和信息化部、国家统计局、国家发展和改革委员会、财政部关于印发中小企业划型标准规定的通知》（工信部联企业[2011]300号）规定的划分标准，本公司为______（请填写：中型、小型、微型）企业。</w:t>
      </w:r>
    </w:p>
    <w:p>
      <w:pPr>
        <w:pStyle w:val="35"/>
        <w:wordWrap w:val="0"/>
        <w:spacing w:line="432" w:lineRule="auto"/>
        <w:rPr>
          <w:rFonts w:cs="Times New Roman" w:asciiTheme="minorEastAsia" w:hAnsiTheme="minorEastAsia" w:eastAsiaTheme="minorEastAsia"/>
          <w:color w:val="auto"/>
          <w:kern w:val="2"/>
        </w:rPr>
      </w:pPr>
      <w:r>
        <w:rPr>
          <w:rFonts w:cs="Times New Roman" w:asciiTheme="minorEastAsia" w:hAnsiTheme="minorEastAsia" w:eastAsiaTheme="minorEastAsia"/>
          <w:color w:val="auto"/>
          <w:kern w:val="2"/>
        </w:rPr>
        <w:t>　　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35"/>
        <w:wordWrap w:val="0"/>
        <w:spacing w:line="432" w:lineRule="auto"/>
        <w:rPr>
          <w:rFonts w:ascii="Times New Roman" w:hAnsi="Times New Roman" w:cs="Times New Roman"/>
          <w:color w:val="auto"/>
          <w:kern w:val="2"/>
        </w:rPr>
      </w:pPr>
      <w:r>
        <w:rPr>
          <w:rFonts w:cs="Times New Roman" w:asciiTheme="minorEastAsia" w:hAnsiTheme="minorEastAsia" w:eastAsiaTheme="minorEastAsia"/>
          <w:color w:val="auto"/>
          <w:kern w:val="2"/>
        </w:rPr>
        <w:t>　　本公司对上述声明的真实性负责。如有虚假，将依法承担相应责任。</w:t>
      </w:r>
    </w:p>
    <w:p>
      <w:pPr>
        <w:pStyle w:val="13"/>
        <w:spacing w:line="360" w:lineRule="auto"/>
        <w:ind w:firstLine="480"/>
        <w:rPr>
          <w:color w:val="auto"/>
          <w:sz w:val="24"/>
        </w:rPr>
      </w:pPr>
    </w:p>
    <w:p>
      <w:pPr>
        <w:pStyle w:val="13"/>
        <w:spacing w:line="360" w:lineRule="auto"/>
        <w:ind w:firstLine="480"/>
        <w:rPr>
          <w:color w:val="auto"/>
          <w:sz w:val="24"/>
        </w:rPr>
      </w:pPr>
    </w:p>
    <w:p>
      <w:pPr>
        <w:pStyle w:val="13"/>
        <w:spacing w:line="360" w:lineRule="auto"/>
        <w:ind w:firstLine="480"/>
        <w:rPr>
          <w:color w:val="auto"/>
          <w:sz w:val="24"/>
        </w:rPr>
      </w:pPr>
      <w:r>
        <w:rPr>
          <w:color w:val="auto"/>
          <w:sz w:val="24"/>
        </w:rPr>
        <w:t>企业名称（盖章）：　</w:t>
      </w:r>
    </w:p>
    <w:p>
      <w:pPr>
        <w:pStyle w:val="13"/>
        <w:spacing w:line="360" w:lineRule="auto"/>
        <w:ind w:firstLine="480"/>
        <w:rPr>
          <w:color w:val="auto"/>
          <w:sz w:val="24"/>
        </w:rPr>
      </w:pPr>
      <w:r>
        <w:rPr>
          <w:color w:val="auto"/>
          <w:sz w:val="24"/>
        </w:rPr>
        <w:t>日  期：</w:t>
      </w:r>
    </w:p>
    <w:p>
      <w:pPr>
        <w:pStyle w:val="13"/>
        <w:spacing w:line="360" w:lineRule="auto"/>
        <w:ind w:firstLine="480"/>
        <w:rPr>
          <w:color w:val="auto"/>
          <w:sz w:val="24"/>
        </w:rPr>
      </w:pPr>
    </w:p>
    <w:p>
      <w:pPr>
        <w:pStyle w:val="13"/>
        <w:spacing w:line="360" w:lineRule="auto"/>
        <w:ind w:firstLine="480"/>
        <w:rPr>
          <w:color w:val="auto"/>
          <w:sz w:val="24"/>
        </w:rPr>
      </w:pPr>
      <w:r>
        <w:rPr>
          <w:rFonts w:hint="eastAsia"/>
          <w:color w:val="auto"/>
          <w:sz w:val="24"/>
        </w:rPr>
        <w:t>1.若供应商属于中\小\微型企业，必须出示由企业所在地的县级以上中小企业主管部门出具的中小企业认定证书和中小企业声明函，否则不予认可。</w:t>
      </w:r>
    </w:p>
    <w:p>
      <w:pPr>
        <w:pStyle w:val="13"/>
        <w:spacing w:line="360" w:lineRule="auto"/>
        <w:ind w:firstLine="480"/>
        <w:rPr>
          <w:color w:val="auto"/>
          <w:sz w:val="24"/>
        </w:rPr>
      </w:pPr>
      <w:r>
        <w:rPr>
          <w:rFonts w:hint="eastAsia"/>
          <w:color w:val="auto"/>
          <w:sz w:val="24"/>
        </w:rPr>
        <w:t>2.对于小型、微型企业产品的具体评审价格扣除，均按</w:t>
      </w:r>
      <w:r>
        <w:rPr>
          <w:color w:val="auto"/>
          <w:sz w:val="24"/>
        </w:rPr>
        <w:t>财库[2011]181号</w:t>
      </w:r>
      <w:r>
        <w:rPr>
          <w:rFonts w:hint="eastAsia"/>
          <w:color w:val="auto"/>
          <w:sz w:val="24"/>
        </w:rPr>
        <w:t>文件中最低比例6%扣除。</w:t>
      </w:r>
    </w:p>
    <w:p>
      <w:pPr>
        <w:pStyle w:val="13"/>
        <w:ind w:left="360" w:hanging="360" w:hangingChars="150"/>
        <w:rPr>
          <w:rFonts w:ascii="宋体" w:hAnsi="宋体"/>
          <w:color w:val="auto"/>
          <w:sz w:val="24"/>
        </w:rPr>
      </w:pPr>
    </w:p>
    <w:p>
      <w:pPr>
        <w:pStyle w:val="13"/>
        <w:ind w:left="360" w:hanging="360" w:hangingChars="150"/>
        <w:rPr>
          <w:rFonts w:ascii="宋体" w:hAnsi="宋体"/>
          <w:color w:val="auto"/>
          <w:sz w:val="24"/>
        </w:rPr>
      </w:pPr>
    </w:p>
    <w:p>
      <w:pPr>
        <w:jc w:val="center"/>
        <w:rPr>
          <w:rFonts w:eastAsia="楷体_GB2312"/>
          <w:b/>
          <w:color w:val="auto"/>
          <w:kern w:val="44"/>
          <w:sz w:val="44"/>
          <w:szCs w:val="20"/>
        </w:rPr>
      </w:pPr>
    </w:p>
    <w:p>
      <w:pPr>
        <w:spacing w:line="588" w:lineRule="exact"/>
        <w:jc w:val="center"/>
        <w:rPr>
          <w:b/>
          <w:color w:val="auto"/>
          <w:sz w:val="32"/>
          <w:szCs w:val="32"/>
        </w:rPr>
      </w:pPr>
      <w:bookmarkStart w:id="750" w:name="OLE_LINK13"/>
      <w:r>
        <w:rPr>
          <w:rFonts w:hint="eastAsia"/>
          <w:b/>
          <w:color w:val="auto"/>
          <w:sz w:val="32"/>
          <w:szCs w:val="32"/>
        </w:rPr>
        <w:t>残疾人福利性单位声明函</w:t>
      </w:r>
    </w:p>
    <w:bookmarkEnd w:id="750"/>
    <w:p>
      <w:pPr>
        <w:spacing w:line="588" w:lineRule="exact"/>
        <w:rPr>
          <w:rFonts w:ascii="宋体" w:hAnsi="宋体" w:cs="宋体"/>
          <w:b/>
          <w:color w:val="auto"/>
          <w:spacing w:val="6"/>
          <w:sz w:val="30"/>
          <w:szCs w:val="30"/>
        </w:rPr>
      </w:pPr>
    </w:p>
    <w:p>
      <w:pPr>
        <w:spacing w:line="360" w:lineRule="auto"/>
        <w:ind w:firstLine="720" w:firstLineChars="300"/>
        <w:rPr>
          <w:rFonts w:ascii="宋体" w:hAnsi="宋体" w:cs="宋体"/>
          <w:color w:val="auto"/>
          <w:sz w:val="24"/>
          <w:szCs w:val="21"/>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pPr>
        <w:spacing w:line="360" w:lineRule="auto"/>
        <w:rPr>
          <w:rFonts w:ascii="宋体" w:hAnsi="宋体" w:cs="宋体"/>
          <w:color w:val="auto"/>
          <w:sz w:val="24"/>
        </w:rPr>
      </w:pPr>
    </w:p>
    <w:p>
      <w:pPr>
        <w:spacing w:line="360" w:lineRule="auto"/>
        <w:jc w:val="right"/>
        <w:rPr>
          <w:rFonts w:ascii="宋体" w:hAnsi="宋体" w:cs="宋体"/>
          <w:color w:val="auto"/>
          <w:sz w:val="24"/>
        </w:rPr>
      </w:pPr>
    </w:p>
    <w:p>
      <w:pPr>
        <w:wordWrap w:val="0"/>
        <w:spacing w:line="360" w:lineRule="auto"/>
        <w:jc w:val="right"/>
        <w:rPr>
          <w:rFonts w:ascii="宋体" w:hAnsi="宋体" w:cs="宋体"/>
          <w:color w:val="auto"/>
          <w:sz w:val="24"/>
        </w:rPr>
      </w:pPr>
      <w:r>
        <w:rPr>
          <w:rFonts w:hint="eastAsia" w:ascii="宋体" w:hAnsi="宋体" w:cs="宋体"/>
          <w:color w:val="auto"/>
          <w:sz w:val="24"/>
        </w:rPr>
        <w:t xml:space="preserve">    单位名称（盖章）：        </w:t>
      </w:r>
    </w:p>
    <w:p>
      <w:pPr>
        <w:wordWrap w:val="0"/>
        <w:spacing w:line="360" w:lineRule="auto"/>
        <w:jc w:val="right"/>
        <w:rPr>
          <w:rFonts w:ascii="宋体" w:hAnsi="宋体" w:cs="宋体"/>
          <w:color w:val="auto"/>
        </w:rPr>
      </w:pPr>
      <w:r>
        <w:rPr>
          <w:rFonts w:hint="eastAsia" w:ascii="宋体" w:hAnsi="宋体" w:cs="宋体"/>
          <w:color w:val="auto"/>
          <w:sz w:val="24"/>
        </w:rPr>
        <w:t xml:space="preserve">日  期：   </w:t>
      </w:r>
      <w:r>
        <w:rPr>
          <w:rFonts w:hint="eastAsia" w:ascii="宋体" w:hAnsi="宋体" w:cs="宋体"/>
          <w:color w:val="auto"/>
        </w:rPr>
        <w:t xml:space="preserve">    </w:t>
      </w:r>
    </w:p>
    <w:p>
      <w:pPr>
        <w:pStyle w:val="21"/>
        <w:spacing w:line="360" w:lineRule="auto"/>
        <w:jc w:val="right"/>
        <w:rPr>
          <w:rFonts w:hAnsi="宋体" w:cs="宋体"/>
          <w:color w:val="auto"/>
        </w:rPr>
      </w:pPr>
    </w:p>
    <w:p>
      <w:pPr>
        <w:pStyle w:val="21"/>
        <w:spacing w:line="360" w:lineRule="auto"/>
        <w:jc w:val="right"/>
        <w:rPr>
          <w:rFonts w:hAnsi="宋体"/>
          <w:color w:val="auto"/>
        </w:rPr>
      </w:pPr>
    </w:p>
    <w:p>
      <w:pPr>
        <w:pStyle w:val="21"/>
        <w:spacing w:line="360" w:lineRule="auto"/>
        <w:rPr>
          <w:rFonts w:hAnsi="宋体"/>
          <w:color w:val="auto"/>
        </w:rPr>
      </w:pPr>
    </w:p>
    <w:p>
      <w:pPr>
        <w:pStyle w:val="21"/>
        <w:spacing w:line="360" w:lineRule="auto"/>
        <w:rPr>
          <w:rFonts w:hAnsi="宋体"/>
          <w:color w:val="auto"/>
        </w:rPr>
      </w:pPr>
    </w:p>
    <w:p>
      <w:pPr>
        <w:widowControl/>
        <w:spacing w:line="520" w:lineRule="exact"/>
        <w:rPr>
          <w:rFonts w:ascii="宋体" w:hAnsi="宋体"/>
          <w:color w:val="auto"/>
          <w:sz w:val="28"/>
        </w:rPr>
      </w:pPr>
    </w:p>
    <w:p>
      <w:pPr>
        <w:pStyle w:val="2"/>
        <w:rPr>
          <w:rFonts w:ascii="宋体" w:hAnsi="宋体"/>
          <w:color w:val="auto"/>
          <w:sz w:val="28"/>
        </w:rPr>
      </w:pPr>
    </w:p>
    <w:p>
      <w:pPr>
        <w:pStyle w:val="2"/>
        <w:rPr>
          <w:rFonts w:ascii="宋体" w:hAnsi="宋体"/>
          <w:color w:val="auto"/>
          <w:sz w:val="28"/>
        </w:rPr>
      </w:pPr>
    </w:p>
    <w:p>
      <w:pPr>
        <w:pStyle w:val="2"/>
        <w:rPr>
          <w:rFonts w:ascii="宋体" w:hAnsi="宋体"/>
          <w:color w:val="auto"/>
          <w:sz w:val="28"/>
        </w:rPr>
      </w:pPr>
    </w:p>
    <w:p>
      <w:pPr>
        <w:pStyle w:val="2"/>
        <w:rPr>
          <w:rFonts w:ascii="宋体" w:hAnsi="宋体"/>
          <w:color w:val="auto"/>
          <w:sz w:val="28"/>
        </w:rPr>
      </w:pPr>
    </w:p>
    <w:p>
      <w:pPr>
        <w:pStyle w:val="2"/>
        <w:rPr>
          <w:rFonts w:ascii="宋体" w:hAnsi="宋体"/>
          <w:color w:val="auto"/>
          <w:sz w:val="28"/>
        </w:rPr>
      </w:pPr>
    </w:p>
    <w:p>
      <w:pPr>
        <w:pStyle w:val="2"/>
        <w:rPr>
          <w:rFonts w:ascii="宋体" w:hAnsi="宋体"/>
          <w:color w:val="auto"/>
          <w:sz w:val="28"/>
        </w:rPr>
      </w:pPr>
    </w:p>
    <w:p>
      <w:pPr>
        <w:pStyle w:val="2"/>
        <w:rPr>
          <w:rFonts w:ascii="宋体" w:hAnsi="宋体"/>
          <w:color w:val="auto"/>
          <w:sz w:val="28"/>
        </w:rPr>
      </w:pPr>
    </w:p>
    <w:p>
      <w:pPr>
        <w:pStyle w:val="2"/>
        <w:rPr>
          <w:rFonts w:ascii="宋体" w:hAnsi="宋体"/>
          <w:color w:val="auto"/>
          <w:sz w:val="28"/>
        </w:rPr>
      </w:pPr>
    </w:p>
    <w:p>
      <w:pPr>
        <w:pStyle w:val="2"/>
        <w:numPr>
          <w:ilvl w:val="0"/>
          <w:numId w:val="3"/>
        </w:numPr>
        <w:jc w:val="center"/>
        <w:rPr>
          <w:rFonts w:hint="eastAsia" w:ascii="宋体" w:hAnsi="宋体"/>
          <w:color w:val="auto"/>
          <w:sz w:val="28"/>
          <w:lang w:eastAsia="zh-CN"/>
        </w:rPr>
      </w:pPr>
      <w:r>
        <w:rPr>
          <w:rFonts w:hint="eastAsia" w:ascii="宋体" w:hAnsi="宋体"/>
          <w:color w:val="auto"/>
          <w:sz w:val="28"/>
          <w:lang w:eastAsia="zh-CN"/>
        </w:rPr>
        <w:t>保证金</w:t>
      </w:r>
    </w:p>
    <w:p>
      <w:pPr>
        <w:pStyle w:val="2"/>
        <w:numPr>
          <w:ilvl w:val="0"/>
          <w:numId w:val="0"/>
        </w:numPr>
        <w:jc w:val="both"/>
        <w:rPr>
          <w:rFonts w:hint="eastAsia" w:ascii="宋体" w:hAnsi="宋体"/>
          <w:color w:val="auto"/>
          <w:sz w:val="28"/>
          <w:lang w:eastAsia="zh-CN"/>
        </w:rPr>
      </w:pPr>
      <w:r>
        <w:rPr>
          <w:rFonts w:hint="eastAsia" w:ascii="宋体" w:hAnsi="宋体"/>
          <w:color w:val="auto"/>
          <w:sz w:val="28"/>
          <w:lang w:eastAsia="zh-CN"/>
        </w:rPr>
        <w:t>附保证金转账凭证</w:t>
      </w:r>
    </w:p>
    <w:p>
      <w:pPr>
        <w:pStyle w:val="2"/>
        <w:numPr>
          <w:ilvl w:val="0"/>
          <w:numId w:val="0"/>
        </w:numPr>
        <w:jc w:val="both"/>
        <w:rPr>
          <w:rFonts w:hint="eastAsia" w:ascii="宋体" w:hAnsi="宋体"/>
          <w:color w:val="auto"/>
          <w:sz w:val="28"/>
          <w:lang w:eastAsia="zh-CN"/>
        </w:rPr>
      </w:pPr>
    </w:p>
    <w:p>
      <w:pPr>
        <w:pStyle w:val="2"/>
        <w:numPr>
          <w:ilvl w:val="0"/>
          <w:numId w:val="0"/>
        </w:numPr>
        <w:jc w:val="both"/>
        <w:rPr>
          <w:rFonts w:hint="eastAsia" w:ascii="宋体" w:hAnsi="宋体"/>
          <w:color w:val="auto"/>
          <w:sz w:val="28"/>
          <w:lang w:eastAsia="zh-CN"/>
        </w:rPr>
      </w:pPr>
    </w:p>
    <w:p>
      <w:pPr>
        <w:pStyle w:val="2"/>
        <w:numPr>
          <w:ilvl w:val="0"/>
          <w:numId w:val="0"/>
        </w:numPr>
        <w:jc w:val="both"/>
        <w:rPr>
          <w:rFonts w:hint="eastAsia" w:ascii="宋体" w:hAnsi="宋体"/>
          <w:color w:val="auto"/>
          <w:sz w:val="28"/>
          <w:lang w:eastAsia="zh-CN"/>
        </w:rPr>
      </w:pPr>
    </w:p>
    <w:p>
      <w:pPr>
        <w:pStyle w:val="2"/>
        <w:numPr>
          <w:ilvl w:val="0"/>
          <w:numId w:val="0"/>
        </w:numPr>
        <w:jc w:val="both"/>
        <w:rPr>
          <w:rFonts w:hint="eastAsia" w:ascii="宋体" w:hAnsi="宋体"/>
          <w:color w:val="auto"/>
          <w:sz w:val="28"/>
          <w:lang w:eastAsia="zh-CN"/>
        </w:rPr>
      </w:pPr>
    </w:p>
    <w:p>
      <w:pPr>
        <w:pStyle w:val="2"/>
        <w:numPr>
          <w:ilvl w:val="0"/>
          <w:numId w:val="0"/>
        </w:numPr>
        <w:jc w:val="both"/>
        <w:rPr>
          <w:rFonts w:hint="eastAsia" w:ascii="宋体" w:hAnsi="宋体"/>
          <w:color w:val="auto"/>
          <w:sz w:val="28"/>
          <w:lang w:eastAsia="zh-CN"/>
        </w:rPr>
      </w:pPr>
    </w:p>
    <w:p>
      <w:pPr>
        <w:pStyle w:val="2"/>
        <w:numPr>
          <w:ilvl w:val="0"/>
          <w:numId w:val="0"/>
        </w:numPr>
        <w:jc w:val="both"/>
        <w:rPr>
          <w:rFonts w:hint="eastAsia" w:ascii="宋体" w:hAnsi="宋体"/>
          <w:color w:val="auto"/>
          <w:sz w:val="28"/>
          <w:lang w:eastAsia="zh-CN"/>
        </w:rPr>
      </w:pPr>
    </w:p>
    <w:p>
      <w:pPr>
        <w:pStyle w:val="2"/>
        <w:numPr>
          <w:ilvl w:val="0"/>
          <w:numId w:val="0"/>
        </w:numPr>
        <w:jc w:val="both"/>
        <w:rPr>
          <w:rFonts w:hint="eastAsia" w:ascii="宋体" w:hAnsi="宋体"/>
          <w:color w:val="auto"/>
          <w:sz w:val="28"/>
          <w:lang w:eastAsia="zh-CN"/>
        </w:rPr>
      </w:pPr>
    </w:p>
    <w:p>
      <w:pPr>
        <w:pStyle w:val="2"/>
        <w:numPr>
          <w:ilvl w:val="0"/>
          <w:numId w:val="0"/>
        </w:numPr>
        <w:jc w:val="both"/>
        <w:rPr>
          <w:rFonts w:hint="eastAsia" w:ascii="宋体" w:hAnsi="宋体"/>
          <w:color w:val="auto"/>
          <w:sz w:val="28"/>
          <w:lang w:eastAsia="zh-CN"/>
        </w:rPr>
      </w:pPr>
    </w:p>
    <w:p>
      <w:pPr>
        <w:pStyle w:val="2"/>
        <w:numPr>
          <w:ilvl w:val="0"/>
          <w:numId w:val="0"/>
        </w:numPr>
        <w:jc w:val="both"/>
        <w:rPr>
          <w:rFonts w:hint="eastAsia" w:ascii="宋体" w:hAnsi="宋体"/>
          <w:color w:val="auto"/>
          <w:sz w:val="28"/>
          <w:lang w:eastAsia="zh-CN"/>
        </w:rPr>
      </w:pPr>
    </w:p>
    <w:p>
      <w:pPr>
        <w:pStyle w:val="2"/>
        <w:numPr>
          <w:ilvl w:val="0"/>
          <w:numId w:val="0"/>
        </w:numPr>
        <w:jc w:val="both"/>
        <w:rPr>
          <w:rFonts w:hint="eastAsia" w:ascii="宋体" w:hAnsi="宋体"/>
          <w:color w:val="auto"/>
          <w:sz w:val="28"/>
          <w:lang w:eastAsia="zh-CN"/>
        </w:rPr>
      </w:pPr>
    </w:p>
    <w:p>
      <w:pPr>
        <w:pStyle w:val="2"/>
        <w:numPr>
          <w:ilvl w:val="0"/>
          <w:numId w:val="0"/>
        </w:numPr>
        <w:jc w:val="both"/>
        <w:rPr>
          <w:rFonts w:hint="eastAsia" w:ascii="宋体" w:hAnsi="宋体"/>
          <w:color w:val="auto"/>
          <w:sz w:val="28"/>
          <w:lang w:eastAsia="zh-CN"/>
        </w:rPr>
      </w:pPr>
    </w:p>
    <w:p>
      <w:pPr>
        <w:pStyle w:val="2"/>
        <w:numPr>
          <w:ilvl w:val="0"/>
          <w:numId w:val="0"/>
        </w:numPr>
        <w:jc w:val="both"/>
        <w:rPr>
          <w:rFonts w:hint="eastAsia" w:ascii="宋体" w:hAnsi="宋体"/>
          <w:color w:val="auto"/>
          <w:sz w:val="28"/>
          <w:lang w:eastAsia="zh-CN"/>
        </w:rPr>
      </w:pPr>
    </w:p>
    <w:p>
      <w:pPr>
        <w:pStyle w:val="2"/>
        <w:numPr>
          <w:ilvl w:val="0"/>
          <w:numId w:val="0"/>
        </w:numPr>
        <w:jc w:val="both"/>
        <w:rPr>
          <w:rFonts w:hint="eastAsia" w:ascii="宋体" w:hAnsi="宋体"/>
          <w:color w:val="auto"/>
          <w:sz w:val="28"/>
          <w:lang w:eastAsia="zh-CN"/>
        </w:rPr>
      </w:pPr>
    </w:p>
    <w:p>
      <w:pPr>
        <w:pStyle w:val="2"/>
        <w:numPr>
          <w:ilvl w:val="0"/>
          <w:numId w:val="0"/>
        </w:numPr>
        <w:jc w:val="both"/>
        <w:rPr>
          <w:rFonts w:hint="eastAsia" w:ascii="宋体" w:hAnsi="宋体"/>
          <w:color w:val="auto"/>
          <w:sz w:val="28"/>
          <w:lang w:eastAsia="zh-CN"/>
        </w:rPr>
      </w:pPr>
    </w:p>
    <w:p>
      <w:pPr>
        <w:pStyle w:val="2"/>
        <w:numPr>
          <w:ilvl w:val="0"/>
          <w:numId w:val="0"/>
        </w:numPr>
        <w:jc w:val="both"/>
        <w:rPr>
          <w:rFonts w:hint="eastAsia" w:ascii="宋体" w:hAnsi="宋体"/>
          <w:color w:val="auto"/>
          <w:sz w:val="28"/>
          <w:lang w:eastAsia="zh-CN"/>
        </w:rPr>
      </w:pPr>
    </w:p>
    <w:p>
      <w:pPr>
        <w:pStyle w:val="2"/>
        <w:numPr>
          <w:ilvl w:val="0"/>
          <w:numId w:val="0"/>
        </w:numPr>
        <w:jc w:val="both"/>
        <w:rPr>
          <w:rFonts w:hint="eastAsia" w:ascii="宋体" w:hAnsi="宋体"/>
          <w:color w:val="auto"/>
          <w:sz w:val="28"/>
          <w:lang w:eastAsia="zh-CN"/>
        </w:rPr>
      </w:pPr>
    </w:p>
    <w:p>
      <w:pPr>
        <w:pStyle w:val="2"/>
        <w:numPr>
          <w:ilvl w:val="0"/>
          <w:numId w:val="0"/>
        </w:numPr>
        <w:jc w:val="both"/>
        <w:rPr>
          <w:rFonts w:hint="eastAsia" w:ascii="宋体" w:hAnsi="宋体"/>
          <w:color w:val="auto"/>
          <w:sz w:val="28"/>
          <w:lang w:eastAsia="zh-CN"/>
        </w:rPr>
      </w:pPr>
    </w:p>
    <w:p>
      <w:pPr>
        <w:pStyle w:val="2"/>
        <w:numPr>
          <w:ilvl w:val="0"/>
          <w:numId w:val="0"/>
        </w:numPr>
        <w:jc w:val="both"/>
        <w:rPr>
          <w:rFonts w:hint="eastAsia" w:ascii="宋体" w:hAnsi="宋体"/>
          <w:color w:val="auto"/>
          <w:sz w:val="28"/>
          <w:lang w:eastAsia="zh-CN"/>
        </w:rPr>
      </w:pPr>
      <w:r>
        <w:rPr>
          <w:rFonts w:hint="eastAsia" w:ascii="宋体" w:hAnsi="宋体"/>
          <w:color w:val="auto"/>
          <w:sz w:val="28"/>
          <w:lang w:eastAsia="zh-CN"/>
        </w:rPr>
        <w:t>九、投标人认为必要的其他材料</w:t>
      </w:r>
    </w:p>
    <w:p>
      <w:pPr>
        <w:pStyle w:val="2"/>
        <w:numPr>
          <w:ilvl w:val="0"/>
          <w:numId w:val="0"/>
        </w:numPr>
        <w:jc w:val="both"/>
        <w:rPr>
          <w:rFonts w:hint="eastAsia" w:ascii="宋体" w:hAnsi="宋体"/>
          <w:color w:val="auto"/>
          <w:sz w:val="28"/>
          <w:lang w:eastAsia="zh-CN"/>
        </w:rPr>
      </w:pPr>
    </w:p>
    <w:p>
      <w:pPr>
        <w:pStyle w:val="2"/>
        <w:numPr>
          <w:ilvl w:val="0"/>
          <w:numId w:val="0"/>
        </w:numPr>
        <w:jc w:val="both"/>
        <w:rPr>
          <w:rFonts w:hint="eastAsia" w:ascii="宋体" w:hAnsi="宋体"/>
          <w:color w:val="auto"/>
          <w:sz w:val="28"/>
          <w:lang w:eastAsia="zh-CN"/>
        </w:rPr>
      </w:pPr>
    </w:p>
    <w:sectPr>
      <w:headerReference r:id="rId3" w:type="default"/>
      <w:footerReference r:id="rId4" w:type="default"/>
      <w:pgSz w:w="11906" w:h="16838"/>
      <w:pgMar w:top="1440" w:right="17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10" w:usb3="00000000" w:csb0="00040000" w:csb1="00000000"/>
  </w:font>
  <w:font w:name="Calibri Light">
    <w:panose1 w:val="020F0302020204030204"/>
    <w:charset w:val="00"/>
    <w:family w:val="decorative"/>
    <w:pitch w:val="default"/>
    <w:sig w:usb0="E0002AFF" w:usb1="C000247B" w:usb2="00000009" w:usb3="00000000" w:csb0="200001FF" w:csb1="00000000"/>
  </w:font>
  <w:font w:name="Arial Unicode MS">
    <w:altName w:val="宋体"/>
    <w:panose1 w:val="020B0604020202020204"/>
    <w:charset w:val="86"/>
    <w:family w:val="decorative"/>
    <w:pitch w:val="default"/>
    <w:sig w:usb0="00000000" w:usb1="00000000" w:usb2="0000003F" w:usb3="00000000" w:csb0="603F01FF" w:csb1="FFFF0000"/>
  </w:font>
  <w:font w:name="Cambria">
    <w:panose1 w:val="02040503050406030204"/>
    <w:charset w:val="00"/>
    <w:family w:val="moder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44</w:t>
    </w:r>
    <w:r>
      <w:rPr>
        <w:lang w:val="zh-CN"/>
      </w:rP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thinThickSmallGap" w:color="auto" w:sz="12" w:space="1"/>
      </w:pBdr>
      <w:jc w:val="left"/>
      <w:rPr>
        <w:sz w:val="21"/>
        <w:szCs w:val="21"/>
      </w:rPr>
    </w:pPr>
    <w:r>
      <w:rPr>
        <w:rFonts w:hint="eastAsia"/>
        <w:sz w:val="21"/>
        <w:szCs w:val="21"/>
        <w:lang w:eastAsia="zh-CN"/>
      </w:rPr>
      <w:t>郑州市教育局郑州美育微信公众号全年运营服务项目</w:t>
    </w:r>
    <w:r>
      <w:rPr>
        <w:rFonts w:hint="eastAsia"/>
        <w:sz w:val="21"/>
        <w:szCs w:val="21"/>
      </w:rPr>
      <w:t xml:space="preserve">                 </w:t>
    </w:r>
    <w:r>
      <w:rPr>
        <w:rFonts w:hint="eastAsia"/>
        <w:sz w:val="21"/>
        <w:szCs w:val="21"/>
        <w:lang w:val="en-US" w:eastAsia="zh-CN"/>
      </w:rPr>
      <w:t xml:space="preserve">   </w:t>
    </w:r>
    <w:r>
      <w:rPr>
        <w:rFonts w:hint="eastAsia"/>
        <w:sz w:val="21"/>
        <w:szCs w:val="21"/>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B4B91D"/>
    <w:multiLevelType w:val="singleLevel"/>
    <w:tmpl w:val="DEB4B91D"/>
    <w:lvl w:ilvl="0" w:tentative="0">
      <w:start w:val="4"/>
      <w:numFmt w:val="chineseCounting"/>
      <w:suff w:val="space"/>
      <w:lvlText w:val="第%1章"/>
      <w:lvlJc w:val="left"/>
      <w:rPr>
        <w:rFonts w:hint="eastAsia"/>
      </w:rPr>
    </w:lvl>
  </w:abstractNum>
  <w:abstractNum w:abstractNumId="1">
    <w:nsid w:val="4B117B17"/>
    <w:multiLevelType w:val="singleLevel"/>
    <w:tmpl w:val="4B117B17"/>
    <w:lvl w:ilvl="0" w:tentative="0">
      <w:start w:val="8"/>
      <w:numFmt w:val="chineseCounting"/>
      <w:suff w:val="nothing"/>
      <w:lvlText w:val="%1、"/>
      <w:lvlJc w:val="left"/>
      <w:rPr>
        <w:rFonts w:hint="eastAsia"/>
      </w:rPr>
    </w:lvl>
  </w:abstractNum>
  <w:abstractNum w:abstractNumId="2">
    <w:nsid w:val="53572B7D"/>
    <w:multiLevelType w:val="singleLevel"/>
    <w:tmpl w:val="53572B7D"/>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002"/>
    <w:rsid w:val="00001402"/>
    <w:rsid w:val="00006780"/>
    <w:rsid w:val="00007D45"/>
    <w:rsid w:val="00025E0F"/>
    <w:rsid w:val="000356D6"/>
    <w:rsid w:val="00037FC9"/>
    <w:rsid w:val="00044ED3"/>
    <w:rsid w:val="00045389"/>
    <w:rsid w:val="00053EB0"/>
    <w:rsid w:val="000573E9"/>
    <w:rsid w:val="00057EFC"/>
    <w:rsid w:val="00065E31"/>
    <w:rsid w:val="00067945"/>
    <w:rsid w:val="00070FA0"/>
    <w:rsid w:val="00071C2B"/>
    <w:rsid w:val="000726B9"/>
    <w:rsid w:val="00076811"/>
    <w:rsid w:val="000778C9"/>
    <w:rsid w:val="000829C3"/>
    <w:rsid w:val="00085EFD"/>
    <w:rsid w:val="000A015A"/>
    <w:rsid w:val="000B0E12"/>
    <w:rsid w:val="000B37A5"/>
    <w:rsid w:val="000B39AF"/>
    <w:rsid w:val="000B423A"/>
    <w:rsid w:val="000B6C7A"/>
    <w:rsid w:val="000D1D8A"/>
    <w:rsid w:val="000D2082"/>
    <w:rsid w:val="000D5293"/>
    <w:rsid w:val="000E25D6"/>
    <w:rsid w:val="000E5ADD"/>
    <w:rsid w:val="000F261D"/>
    <w:rsid w:val="000F4C28"/>
    <w:rsid w:val="000F5376"/>
    <w:rsid w:val="000F5905"/>
    <w:rsid w:val="000F5CA6"/>
    <w:rsid w:val="000F74E1"/>
    <w:rsid w:val="00100F3D"/>
    <w:rsid w:val="0010561D"/>
    <w:rsid w:val="001166D7"/>
    <w:rsid w:val="00121E87"/>
    <w:rsid w:val="00124F2C"/>
    <w:rsid w:val="0013028A"/>
    <w:rsid w:val="00131FF6"/>
    <w:rsid w:val="00142D2F"/>
    <w:rsid w:val="00147663"/>
    <w:rsid w:val="00147A07"/>
    <w:rsid w:val="0015445C"/>
    <w:rsid w:val="00165DA9"/>
    <w:rsid w:val="00171BD6"/>
    <w:rsid w:val="00172AE9"/>
    <w:rsid w:val="001810FF"/>
    <w:rsid w:val="00185B67"/>
    <w:rsid w:val="00186948"/>
    <w:rsid w:val="001A1F91"/>
    <w:rsid w:val="001A44F4"/>
    <w:rsid w:val="001B1D73"/>
    <w:rsid w:val="001B2177"/>
    <w:rsid w:val="001B5558"/>
    <w:rsid w:val="001C1C38"/>
    <w:rsid w:val="001C3B6F"/>
    <w:rsid w:val="001C66AA"/>
    <w:rsid w:val="001D2C37"/>
    <w:rsid w:val="001D56C5"/>
    <w:rsid w:val="001E1C90"/>
    <w:rsid w:val="001E300D"/>
    <w:rsid w:val="001E61FC"/>
    <w:rsid w:val="001F3C0D"/>
    <w:rsid w:val="002032C0"/>
    <w:rsid w:val="002053C5"/>
    <w:rsid w:val="0020618D"/>
    <w:rsid w:val="00210685"/>
    <w:rsid w:val="002162FE"/>
    <w:rsid w:val="002174F8"/>
    <w:rsid w:val="00221B57"/>
    <w:rsid w:val="0022768A"/>
    <w:rsid w:val="002309BA"/>
    <w:rsid w:val="0023731C"/>
    <w:rsid w:val="002373B8"/>
    <w:rsid w:val="002375F1"/>
    <w:rsid w:val="0025429C"/>
    <w:rsid w:val="00254375"/>
    <w:rsid w:val="00255984"/>
    <w:rsid w:val="002643DD"/>
    <w:rsid w:val="00270280"/>
    <w:rsid w:val="0027280A"/>
    <w:rsid w:val="002731DD"/>
    <w:rsid w:val="00273776"/>
    <w:rsid w:val="002746D7"/>
    <w:rsid w:val="00275FE8"/>
    <w:rsid w:val="002834F2"/>
    <w:rsid w:val="00284BD3"/>
    <w:rsid w:val="0028720C"/>
    <w:rsid w:val="00290CDA"/>
    <w:rsid w:val="00295D5A"/>
    <w:rsid w:val="00297C95"/>
    <w:rsid w:val="002A4D2F"/>
    <w:rsid w:val="002A5199"/>
    <w:rsid w:val="002A5AAA"/>
    <w:rsid w:val="002A777D"/>
    <w:rsid w:val="002B40AE"/>
    <w:rsid w:val="002C2ED8"/>
    <w:rsid w:val="002C495F"/>
    <w:rsid w:val="002C551B"/>
    <w:rsid w:val="002C5BC1"/>
    <w:rsid w:val="002C5D55"/>
    <w:rsid w:val="002C7E11"/>
    <w:rsid w:val="002D28F7"/>
    <w:rsid w:val="002D3156"/>
    <w:rsid w:val="002E1FA7"/>
    <w:rsid w:val="002E4F5C"/>
    <w:rsid w:val="002E6D10"/>
    <w:rsid w:val="002F1E11"/>
    <w:rsid w:val="002F41D9"/>
    <w:rsid w:val="002F469F"/>
    <w:rsid w:val="002F79D4"/>
    <w:rsid w:val="00301905"/>
    <w:rsid w:val="00303F66"/>
    <w:rsid w:val="00331D6D"/>
    <w:rsid w:val="00332A00"/>
    <w:rsid w:val="0033518A"/>
    <w:rsid w:val="00340263"/>
    <w:rsid w:val="00340A3F"/>
    <w:rsid w:val="00352544"/>
    <w:rsid w:val="00353268"/>
    <w:rsid w:val="00356813"/>
    <w:rsid w:val="00357329"/>
    <w:rsid w:val="00361125"/>
    <w:rsid w:val="00366DE2"/>
    <w:rsid w:val="00381A61"/>
    <w:rsid w:val="003908A8"/>
    <w:rsid w:val="00394D01"/>
    <w:rsid w:val="003A1D74"/>
    <w:rsid w:val="003A4D36"/>
    <w:rsid w:val="003A4D48"/>
    <w:rsid w:val="003B0CAA"/>
    <w:rsid w:val="003B1D4D"/>
    <w:rsid w:val="003B6418"/>
    <w:rsid w:val="003B676B"/>
    <w:rsid w:val="003C38CD"/>
    <w:rsid w:val="003C7F3D"/>
    <w:rsid w:val="003D4F0B"/>
    <w:rsid w:val="003E0D93"/>
    <w:rsid w:val="003E3935"/>
    <w:rsid w:val="003E3D10"/>
    <w:rsid w:val="003E3D97"/>
    <w:rsid w:val="003E5ADE"/>
    <w:rsid w:val="004019D9"/>
    <w:rsid w:val="00403646"/>
    <w:rsid w:val="004172B6"/>
    <w:rsid w:val="004214D5"/>
    <w:rsid w:val="00422112"/>
    <w:rsid w:val="00422BD7"/>
    <w:rsid w:val="004244F4"/>
    <w:rsid w:val="0042721F"/>
    <w:rsid w:val="00431543"/>
    <w:rsid w:val="00431728"/>
    <w:rsid w:val="00440091"/>
    <w:rsid w:val="0045044C"/>
    <w:rsid w:val="00452D16"/>
    <w:rsid w:val="00460A1E"/>
    <w:rsid w:val="0047672C"/>
    <w:rsid w:val="00476C06"/>
    <w:rsid w:val="00480519"/>
    <w:rsid w:val="004843B8"/>
    <w:rsid w:val="00492D51"/>
    <w:rsid w:val="0049670A"/>
    <w:rsid w:val="00496C61"/>
    <w:rsid w:val="004A117E"/>
    <w:rsid w:val="004A58D4"/>
    <w:rsid w:val="004A680A"/>
    <w:rsid w:val="004A7BF3"/>
    <w:rsid w:val="004B0B87"/>
    <w:rsid w:val="004B0FF5"/>
    <w:rsid w:val="004B1C00"/>
    <w:rsid w:val="004B3316"/>
    <w:rsid w:val="004B7F11"/>
    <w:rsid w:val="004C525A"/>
    <w:rsid w:val="004C6EE1"/>
    <w:rsid w:val="004D0A06"/>
    <w:rsid w:val="004D6A8F"/>
    <w:rsid w:val="004D6BE0"/>
    <w:rsid w:val="004D798D"/>
    <w:rsid w:val="004E6E30"/>
    <w:rsid w:val="004F1209"/>
    <w:rsid w:val="004F2328"/>
    <w:rsid w:val="004F4C8E"/>
    <w:rsid w:val="004F5C8A"/>
    <w:rsid w:val="004F63CF"/>
    <w:rsid w:val="005213EC"/>
    <w:rsid w:val="005327B0"/>
    <w:rsid w:val="00534BF6"/>
    <w:rsid w:val="00534DF8"/>
    <w:rsid w:val="005373D4"/>
    <w:rsid w:val="00537B56"/>
    <w:rsid w:val="00542652"/>
    <w:rsid w:val="005445AB"/>
    <w:rsid w:val="005453D3"/>
    <w:rsid w:val="00546D68"/>
    <w:rsid w:val="00550A1F"/>
    <w:rsid w:val="00554B38"/>
    <w:rsid w:val="005572D5"/>
    <w:rsid w:val="00562C6A"/>
    <w:rsid w:val="00562EAE"/>
    <w:rsid w:val="005652D2"/>
    <w:rsid w:val="00572113"/>
    <w:rsid w:val="00573C0F"/>
    <w:rsid w:val="00574B99"/>
    <w:rsid w:val="00575007"/>
    <w:rsid w:val="00586E1A"/>
    <w:rsid w:val="00593B15"/>
    <w:rsid w:val="005958AC"/>
    <w:rsid w:val="00595997"/>
    <w:rsid w:val="00595B23"/>
    <w:rsid w:val="00597315"/>
    <w:rsid w:val="005A47ED"/>
    <w:rsid w:val="005A6109"/>
    <w:rsid w:val="005A76FD"/>
    <w:rsid w:val="005B06E0"/>
    <w:rsid w:val="005B1105"/>
    <w:rsid w:val="005B4619"/>
    <w:rsid w:val="005C39DB"/>
    <w:rsid w:val="005C4982"/>
    <w:rsid w:val="005D0696"/>
    <w:rsid w:val="005D214B"/>
    <w:rsid w:val="005D6E51"/>
    <w:rsid w:val="005E0E3F"/>
    <w:rsid w:val="005E1962"/>
    <w:rsid w:val="005E6140"/>
    <w:rsid w:val="005E620E"/>
    <w:rsid w:val="005F304E"/>
    <w:rsid w:val="005F43E1"/>
    <w:rsid w:val="005F499D"/>
    <w:rsid w:val="005F6108"/>
    <w:rsid w:val="005F78C3"/>
    <w:rsid w:val="006063FE"/>
    <w:rsid w:val="006113BD"/>
    <w:rsid w:val="00611BDC"/>
    <w:rsid w:val="00613A6F"/>
    <w:rsid w:val="006212A1"/>
    <w:rsid w:val="00624204"/>
    <w:rsid w:val="006259A9"/>
    <w:rsid w:val="00625F7E"/>
    <w:rsid w:val="00627CE5"/>
    <w:rsid w:val="00631807"/>
    <w:rsid w:val="006327C7"/>
    <w:rsid w:val="00640E7F"/>
    <w:rsid w:val="006510C6"/>
    <w:rsid w:val="00654333"/>
    <w:rsid w:val="00655A8A"/>
    <w:rsid w:val="00655EE5"/>
    <w:rsid w:val="006576BA"/>
    <w:rsid w:val="006603B4"/>
    <w:rsid w:val="00660B0B"/>
    <w:rsid w:val="00661506"/>
    <w:rsid w:val="00664EDB"/>
    <w:rsid w:val="006656D9"/>
    <w:rsid w:val="00670A7C"/>
    <w:rsid w:val="006722C9"/>
    <w:rsid w:val="00672A26"/>
    <w:rsid w:val="00684A1D"/>
    <w:rsid w:val="00685A78"/>
    <w:rsid w:val="00690637"/>
    <w:rsid w:val="0069199D"/>
    <w:rsid w:val="00694E15"/>
    <w:rsid w:val="006975F7"/>
    <w:rsid w:val="006A1160"/>
    <w:rsid w:val="006A3D19"/>
    <w:rsid w:val="006B06AF"/>
    <w:rsid w:val="006B2A8B"/>
    <w:rsid w:val="006B3A8F"/>
    <w:rsid w:val="006B4075"/>
    <w:rsid w:val="006B724F"/>
    <w:rsid w:val="006C1898"/>
    <w:rsid w:val="006C35F2"/>
    <w:rsid w:val="006C46C2"/>
    <w:rsid w:val="006C59D7"/>
    <w:rsid w:val="006C6EE0"/>
    <w:rsid w:val="006E1951"/>
    <w:rsid w:val="006E3DC0"/>
    <w:rsid w:val="006E4F2A"/>
    <w:rsid w:val="006F13BF"/>
    <w:rsid w:val="006F31E6"/>
    <w:rsid w:val="00701B49"/>
    <w:rsid w:val="007029E6"/>
    <w:rsid w:val="00712008"/>
    <w:rsid w:val="007137DE"/>
    <w:rsid w:val="00713AB5"/>
    <w:rsid w:val="00713FE2"/>
    <w:rsid w:val="00717910"/>
    <w:rsid w:val="0072270E"/>
    <w:rsid w:val="00724D8F"/>
    <w:rsid w:val="00724FFE"/>
    <w:rsid w:val="0072667B"/>
    <w:rsid w:val="007335FF"/>
    <w:rsid w:val="00741685"/>
    <w:rsid w:val="00743932"/>
    <w:rsid w:val="00751C38"/>
    <w:rsid w:val="007577ED"/>
    <w:rsid w:val="00763D05"/>
    <w:rsid w:val="00773EC0"/>
    <w:rsid w:val="00790855"/>
    <w:rsid w:val="007908BE"/>
    <w:rsid w:val="00793727"/>
    <w:rsid w:val="007A0F26"/>
    <w:rsid w:val="007A67DA"/>
    <w:rsid w:val="007B2207"/>
    <w:rsid w:val="007B262B"/>
    <w:rsid w:val="007B3081"/>
    <w:rsid w:val="007B452A"/>
    <w:rsid w:val="007B4AC3"/>
    <w:rsid w:val="007C000F"/>
    <w:rsid w:val="007C06F5"/>
    <w:rsid w:val="007C1A90"/>
    <w:rsid w:val="007C1B3E"/>
    <w:rsid w:val="007C2F2C"/>
    <w:rsid w:val="007C59D0"/>
    <w:rsid w:val="007D07B5"/>
    <w:rsid w:val="007D291E"/>
    <w:rsid w:val="007D774B"/>
    <w:rsid w:val="007F0EB0"/>
    <w:rsid w:val="007F21AA"/>
    <w:rsid w:val="007F24C6"/>
    <w:rsid w:val="007F2684"/>
    <w:rsid w:val="007F6F4B"/>
    <w:rsid w:val="007F75D1"/>
    <w:rsid w:val="008021D4"/>
    <w:rsid w:val="008028C6"/>
    <w:rsid w:val="00803128"/>
    <w:rsid w:val="00803691"/>
    <w:rsid w:val="00803951"/>
    <w:rsid w:val="00803CBC"/>
    <w:rsid w:val="0080734D"/>
    <w:rsid w:val="00811589"/>
    <w:rsid w:val="0081168F"/>
    <w:rsid w:val="008142AA"/>
    <w:rsid w:val="00814DC6"/>
    <w:rsid w:val="008204FD"/>
    <w:rsid w:val="0082217A"/>
    <w:rsid w:val="00823084"/>
    <w:rsid w:val="00824988"/>
    <w:rsid w:val="0082688D"/>
    <w:rsid w:val="008317D5"/>
    <w:rsid w:val="00833582"/>
    <w:rsid w:val="0083410F"/>
    <w:rsid w:val="00834672"/>
    <w:rsid w:val="00834E5E"/>
    <w:rsid w:val="00840F2B"/>
    <w:rsid w:val="00842ECD"/>
    <w:rsid w:val="008433E3"/>
    <w:rsid w:val="00845291"/>
    <w:rsid w:val="008464A3"/>
    <w:rsid w:val="00852E60"/>
    <w:rsid w:val="0085394B"/>
    <w:rsid w:val="00854664"/>
    <w:rsid w:val="00854898"/>
    <w:rsid w:val="00856C8D"/>
    <w:rsid w:val="00862A69"/>
    <w:rsid w:val="008703A1"/>
    <w:rsid w:val="008734AC"/>
    <w:rsid w:val="00873738"/>
    <w:rsid w:val="008814EA"/>
    <w:rsid w:val="00882885"/>
    <w:rsid w:val="00884DF1"/>
    <w:rsid w:val="00884EC5"/>
    <w:rsid w:val="008A02A4"/>
    <w:rsid w:val="008A2A14"/>
    <w:rsid w:val="008B2716"/>
    <w:rsid w:val="008C3DF9"/>
    <w:rsid w:val="008C4943"/>
    <w:rsid w:val="008C7E5A"/>
    <w:rsid w:val="008D0C33"/>
    <w:rsid w:val="008D3EEE"/>
    <w:rsid w:val="008D59DA"/>
    <w:rsid w:val="008E56F3"/>
    <w:rsid w:val="008E6758"/>
    <w:rsid w:val="008E6F20"/>
    <w:rsid w:val="008E7676"/>
    <w:rsid w:val="008E7740"/>
    <w:rsid w:val="008F33BE"/>
    <w:rsid w:val="008F6242"/>
    <w:rsid w:val="00903E86"/>
    <w:rsid w:val="00906FC7"/>
    <w:rsid w:val="00920212"/>
    <w:rsid w:val="00922348"/>
    <w:rsid w:val="0092559E"/>
    <w:rsid w:val="0092678B"/>
    <w:rsid w:val="009329CF"/>
    <w:rsid w:val="009342C2"/>
    <w:rsid w:val="00943028"/>
    <w:rsid w:val="00944777"/>
    <w:rsid w:val="00945977"/>
    <w:rsid w:val="00946C82"/>
    <w:rsid w:val="009479EC"/>
    <w:rsid w:val="00950DBF"/>
    <w:rsid w:val="0095535A"/>
    <w:rsid w:val="009600B2"/>
    <w:rsid w:val="00961EEB"/>
    <w:rsid w:val="009707B4"/>
    <w:rsid w:val="00971AE8"/>
    <w:rsid w:val="00972A30"/>
    <w:rsid w:val="00981470"/>
    <w:rsid w:val="00984B85"/>
    <w:rsid w:val="00992397"/>
    <w:rsid w:val="00994F5F"/>
    <w:rsid w:val="009A4F8C"/>
    <w:rsid w:val="009B3B93"/>
    <w:rsid w:val="009D1A30"/>
    <w:rsid w:val="009D1B5D"/>
    <w:rsid w:val="009D24E3"/>
    <w:rsid w:val="009E1F6D"/>
    <w:rsid w:val="009E3B76"/>
    <w:rsid w:val="009E4CB3"/>
    <w:rsid w:val="009E61CD"/>
    <w:rsid w:val="009F224E"/>
    <w:rsid w:val="009F3BCC"/>
    <w:rsid w:val="009F3D3E"/>
    <w:rsid w:val="009F6EC4"/>
    <w:rsid w:val="00A018ED"/>
    <w:rsid w:val="00A03BD5"/>
    <w:rsid w:val="00A143A1"/>
    <w:rsid w:val="00A14A16"/>
    <w:rsid w:val="00A26BF7"/>
    <w:rsid w:val="00A271D7"/>
    <w:rsid w:val="00A3262E"/>
    <w:rsid w:val="00A33AC7"/>
    <w:rsid w:val="00A33C4B"/>
    <w:rsid w:val="00A400B8"/>
    <w:rsid w:val="00A407F1"/>
    <w:rsid w:val="00A40A7F"/>
    <w:rsid w:val="00A40D6C"/>
    <w:rsid w:val="00A41862"/>
    <w:rsid w:val="00A62510"/>
    <w:rsid w:val="00A63C87"/>
    <w:rsid w:val="00A63F36"/>
    <w:rsid w:val="00A712CF"/>
    <w:rsid w:val="00A72197"/>
    <w:rsid w:val="00A73D34"/>
    <w:rsid w:val="00A73E17"/>
    <w:rsid w:val="00A73E5C"/>
    <w:rsid w:val="00A75B09"/>
    <w:rsid w:val="00A8622C"/>
    <w:rsid w:val="00A864E3"/>
    <w:rsid w:val="00A9131E"/>
    <w:rsid w:val="00A92246"/>
    <w:rsid w:val="00A95AAA"/>
    <w:rsid w:val="00A97D68"/>
    <w:rsid w:val="00AA5BAA"/>
    <w:rsid w:val="00AA65DB"/>
    <w:rsid w:val="00AB27F2"/>
    <w:rsid w:val="00AB31A7"/>
    <w:rsid w:val="00AB3D1D"/>
    <w:rsid w:val="00AB7008"/>
    <w:rsid w:val="00AC2229"/>
    <w:rsid w:val="00AC3A44"/>
    <w:rsid w:val="00AD0F5D"/>
    <w:rsid w:val="00AD5145"/>
    <w:rsid w:val="00AD6479"/>
    <w:rsid w:val="00AD7C6F"/>
    <w:rsid w:val="00AE0CD5"/>
    <w:rsid w:val="00AF2EDC"/>
    <w:rsid w:val="00AF3D82"/>
    <w:rsid w:val="00AF48F6"/>
    <w:rsid w:val="00AF6544"/>
    <w:rsid w:val="00B05536"/>
    <w:rsid w:val="00B07D1C"/>
    <w:rsid w:val="00B10EC6"/>
    <w:rsid w:val="00B13002"/>
    <w:rsid w:val="00B13DCB"/>
    <w:rsid w:val="00B21C37"/>
    <w:rsid w:val="00B242A8"/>
    <w:rsid w:val="00B2635F"/>
    <w:rsid w:val="00B30CB1"/>
    <w:rsid w:val="00B337FC"/>
    <w:rsid w:val="00B3429D"/>
    <w:rsid w:val="00B35AE9"/>
    <w:rsid w:val="00B41758"/>
    <w:rsid w:val="00B47C84"/>
    <w:rsid w:val="00B5039F"/>
    <w:rsid w:val="00B54518"/>
    <w:rsid w:val="00B63B55"/>
    <w:rsid w:val="00B66DF8"/>
    <w:rsid w:val="00B745B4"/>
    <w:rsid w:val="00B763FA"/>
    <w:rsid w:val="00B873AC"/>
    <w:rsid w:val="00B952E4"/>
    <w:rsid w:val="00B97518"/>
    <w:rsid w:val="00BA0622"/>
    <w:rsid w:val="00BA41EB"/>
    <w:rsid w:val="00BA49CA"/>
    <w:rsid w:val="00BB0F74"/>
    <w:rsid w:val="00BB2C46"/>
    <w:rsid w:val="00BB3B70"/>
    <w:rsid w:val="00BB502B"/>
    <w:rsid w:val="00BB6AA4"/>
    <w:rsid w:val="00BC10E8"/>
    <w:rsid w:val="00BC1A8C"/>
    <w:rsid w:val="00BC36EF"/>
    <w:rsid w:val="00BC4B65"/>
    <w:rsid w:val="00BC786B"/>
    <w:rsid w:val="00BD1D63"/>
    <w:rsid w:val="00BD7E6B"/>
    <w:rsid w:val="00BE01C8"/>
    <w:rsid w:val="00BE304A"/>
    <w:rsid w:val="00BE3724"/>
    <w:rsid w:val="00BE4CFD"/>
    <w:rsid w:val="00BE7C61"/>
    <w:rsid w:val="00BF4B6D"/>
    <w:rsid w:val="00C03F6D"/>
    <w:rsid w:val="00C06739"/>
    <w:rsid w:val="00C1504A"/>
    <w:rsid w:val="00C150F6"/>
    <w:rsid w:val="00C22C67"/>
    <w:rsid w:val="00C30762"/>
    <w:rsid w:val="00C30BE7"/>
    <w:rsid w:val="00C34BE9"/>
    <w:rsid w:val="00C361CA"/>
    <w:rsid w:val="00C3772E"/>
    <w:rsid w:val="00C40F90"/>
    <w:rsid w:val="00C46530"/>
    <w:rsid w:val="00C53FB1"/>
    <w:rsid w:val="00C657E8"/>
    <w:rsid w:val="00C65CBF"/>
    <w:rsid w:val="00C677E6"/>
    <w:rsid w:val="00C70DE2"/>
    <w:rsid w:val="00C7579B"/>
    <w:rsid w:val="00C7646A"/>
    <w:rsid w:val="00C77959"/>
    <w:rsid w:val="00C805A2"/>
    <w:rsid w:val="00C82E00"/>
    <w:rsid w:val="00C83904"/>
    <w:rsid w:val="00C85AA5"/>
    <w:rsid w:val="00C93F57"/>
    <w:rsid w:val="00C94642"/>
    <w:rsid w:val="00C96347"/>
    <w:rsid w:val="00CA0880"/>
    <w:rsid w:val="00CA186A"/>
    <w:rsid w:val="00CA266B"/>
    <w:rsid w:val="00CA36D9"/>
    <w:rsid w:val="00CA75D2"/>
    <w:rsid w:val="00CB566B"/>
    <w:rsid w:val="00CB7ECE"/>
    <w:rsid w:val="00CC1EFE"/>
    <w:rsid w:val="00CC3309"/>
    <w:rsid w:val="00CD653F"/>
    <w:rsid w:val="00CE5F55"/>
    <w:rsid w:val="00CE6867"/>
    <w:rsid w:val="00CF6626"/>
    <w:rsid w:val="00D04B1B"/>
    <w:rsid w:val="00D16082"/>
    <w:rsid w:val="00D22B25"/>
    <w:rsid w:val="00D254EB"/>
    <w:rsid w:val="00D275BF"/>
    <w:rsid w:val="00D302B9"/>
    <w:rsid w:val="00D314DF"/>
    <w:rsid w:val="00D344C1"/>
    <w:rsid w:val="00D356A8"/>
    <w:rsid w:val="00D4332F"/>
    <w:rsid w:val="00D45AD4"/>
    <w:rsid w:val="00D46817"/>
    <w:rsid w:val="00D52293"/>
    <w:rsid w:val="00D529D3"/>
    <w:rsid w:val="00D60B73"/>
    <w:rsid w:val="00D62C8B"/>
    <w:rsid w:val="00D63419"/>
    <w:rsid w:val="00D65C19"/>
    <w:rsid w:val="00D741E4"/>
    <w:rsid w:val="00D76143"/>
    <w:rsid w:val="00D777A8"/>
    <w:rsid w:val="00D83438"/>
    <w:rsid w:val="00D87E08"/>
    <w:rsid w:val="00D92D67"/>
    <w:rsid w:val="00D949BF"/>
    <w:rsid w:val="00DA5267"/>
    <w:rsid w:val="00DA7ADE"/>
    <w:rsid w:val="00DB076F"/>
    <w:rsid w:val="00DB3351"/>
    <w:rsid w:val="00DB5507"/>
    <w:rsid w:val="00DC12BA"/>
    <w:rsid w:val="00DC1C3A"/>
    <w:rsid w:val="00DC402F"/>
    <w:rsid w:val="00DD622D"/>
    <w:rsid w:val="00DD72DF"/>
    <w:rsid w:val="00DE110B"/>
    <w:rsid w:val="00DE781E"/>
    <w:rsid w:val="00DF39B3"/>
    <w:rsid w:val="00DF5755"/>
    <w:rsid w:val="00E0452F"/>
    <w:rsid w:val="00E04C4C"/>
    <w:rsid w:val="00E04E47"/>
    <w:rsid w:val="00E121B8"/>
    <w:rsid w:val="00E168D1"/>
    <w:rsid w:val="00E25116"/>
    <w:rsid w:val="00E27751"/>
    <w:rsid w:val="00E31101"/>
    <w:rsid w:val="00E33C8D"/>
    <w:rsid w:val="00E35158"/>
    <w:rsid w:val="00E36582"/>
    <w:rsid w:val="00E40A6C"/>
    <w:rsid w:val="00E471F9"/>
    <w:rsid w:val="00E5088D"/>
    <w:rsid w:val="00E55D4F"/>
    <w:rsid w:val="00E62288"/>
    <w:rsid w:val="00E67579"/>
    <w:rsid w:val="00E77041"/>
    <w:rsid w:val="00E804D2"/>
    <w:rsid w:val="00E862E8"/>
    <w:rsid w:val="00E93355"/>
    <w:rsid w:val="00EB1BCA"/>
    <w:rsid w:val="00EB31EE"/>
    <w:rsid w:val="00EB48A2"/>
    <w:rsid w:val="00EC2C1C"/>
    <w:rsid w:val="00EC6648"/>
    <w:rsid w:val="00ED066A"/>
    <w:rsid w:val="00ED1AB5"/>
    <w:rsid w:val="00ED57B9"/>
    <w:rsid w:val="00ED6AF4"/>
    <w:rsid w:val="00EE0C37"/>
    <w:rsid w:val="00EE0CB3"/>
    <w:rsid w:val="00EE12C9"/>
    <w:rsid w:val="00EE2042"/>
    <w:rsid w:val="00EE2BA9"/>
    <w:rsid w:val="00EE67DF"/>
    <w:rsid w:val="00EF0730"/>
    <w:rsid w:val="00EF2C92"/>
    <w:rsid w:val="00EF65DA"/>
    <w:rsid w:val="00F0013C"/>
    <w:rsid w:val="00F00D43"/>
    <w:rsid w:val="00F1126B"/>
    <w:rsid w:val="00F1211B"/>
    <w:rsid w:val="00F13517"/>
    <w:rsid w:val="00F16BC6"/>
    <w:rsid w:val="00F16CB7"/>
    <w:rsid w:val="00F2034A"/>
    <w:rsid w:val="00F207CA"/>
    <w:rsid w:val="00F21208"/>
    <w:rsid w:val="00F25A59"/>
    <w:rsid w:val="00F412CD"/>
    <w:rsid w:val="00F5061E"/>
    <w:rsid w:val="00F50BF6"/>
    <w:rsid w:val="00F52AC8"/>
    <w:rsid w:val="00F56F1E"/>
    <w:rsid w:val="00F667A5"/>
    <w:rsid w:val="00F70A33"/>
    <w:rsid w:val="00F7144B"/>
    <w:rsid w:val="00F71C89"/>
    <w:rsid w:val="00F84C6E"/>
    <w:rsid w:val="00F84C9F"/>
    <w:rsid w:val="00F940AB"/>
    <w:rsid w:val="00F9518D"/>
    <w:rsid w:val="00F967B7"/>
    <w:rsid w:val="00FA0251"/>
    <w:rsid w:val="00FA6F1B"/>
    <w:rsid w:val="00FB4D4F"/>
    <w:rsid w:val="00FB4FD7"/>
    <w:rsid w:val="00FB546B"/>
    <w:rsid w:val="00FC0EBB"/>
    <w:rsid w:val="00FC44E3"/>
    <w:rsid w:val="00FD0FC1"/>
    <w:rsid w:val="00FD75E1"/>
    <w:rsid w:val="00FF17AF"/>
    <w:rsid w:val="00FF1C6B"/>
    <w:rsid w:val="00FF2539"/>
    <w:rsid w:val="014146E8"/>
    <w:rsid w:val="01867454"/>
    <w:rsid w:val="03757472"/>
    <w:rsid w:val="05944DB2"/>
    <w:rsid w:val="05C9609E"/>
    <w:rsid w:val="05D05EF3"/>
    <w:rsid w:val="0AE97E3D"/>
    <w:rsid w:val="0B210C36"/>
    <w:rsid w:val="0BC475CF"/>
    <w:rsid w:val="0C02095A"/>
    <w:rsid w:val="0CA57494"/>
    <w:rsid w:val="0DD20AC9"/>
    <w:rsid w:val="0E287C8A"/>
    <w:rsid w:val="0E4078D0"/>
    <w:rsid w:val="0F545A9F"/>
    <w:rsid w:val="0F666EEA"/>
    <w:rsid w:val="141975AA"/>
    <w:rsid w:val="141E54B3"/>
    <w:rsid w:val="15C96EC5"/>
    <w:rsid w:val="164C21B9"/>
    <w:rsid w:val="166D0E71"/>
    <w:rsid w:val="17A0542A"/>
    <w:rsid w:val="18C27567"/>
    <w:rsid w:val="19650A2C"/>
    <w:rsid w:val="1C9F244C"/>
    <w:rsid w:val="1D9C583C"/>
    <w:rsid w:val="1FBA7FB6"/>
    <w:rsid w:val="20B52319"/>
    <w:rsid w:val="21611CD1"/>
    <w:rsid w:val="2202199F"/>
    <w:rsid w:val="2289328E"/>
    <w:rsid w:val="24353EA4"/>
    <w:rsid w:val="244C5052"/>
    <w:rsid w:val="24F411FC"/>
    <w:rsid w:val="24FB38FE"/>
    <w:rsid w:val="27BA5C20"/>
    <w:rsid w:val="27F348B9"/>
    <w:rsid w:val="28792313"/>
    <w:rsid w:val="2957213D"/>
    <w:rsid w:val="295B5835"/>
    <w:rsid w:val="2B6610F0"/>
    <w:rsid w:val="2DB519E1"/>
    <w:rsid w:val="2E2D6CBF"/>
    <w:rsid w:val="2EC451F1"/>
    <w:rsid w:val="301177F8"/>
    <w:rsid w:val="31856EE5"/>
    <w:rsid w:val="31952E88"/>
    <w:rsid w:val="330252EE"/>
    <w:rsid w:val="337B6341"/>
    <w:rsid w:val="345D62B8"/>
    <w:rsid w:val="34B80803"/>
    <w:rsid w:val="364654D9"/>
    <w:rsid w:val="367664F2"/>
    <w:rsid w:val="36AE3BF6"/>
    <w:rsid w:val="390D7552"/>
    <w:rsid w:val="391150FA"/>
    <w:rsid w:val="3B565ADA"/>
    <w:rsid w:val="3CE235F7"/>
    <w:rsid w:val="3F2A7F71"/>
    <w:rsid w:val="3FB47901"/>
    <w:rsid w:val="40D3113D"/>
    <w:rsid w:val="421809AD"/>
    <w:rsid w:val="429F7A74"/>
    <w:rsid w:val="47DD5C56"/>
    <w:rsid w:val="4C632173"/>
    <w:rsid w:val="4CFE23C9"/>
    <w:rsid w:val="4D2E0CC1"/>
    <w:rsid w:val="4D360886"/>
    <w:rsid w:val="4DC667B2"/>
    <w:rsid w:val="4DCF1E3B"/>
    <w:rsid w:val="4E7F6040"/>
    <w:rsid w:val="4F687B37"/>
    <w:rsid w:val="51C45D3C"/>
    <w:rsid w:val="5427407E"/>
    <w:rsid w:val="56CF5435"/>
    <w:rsid w:val="57CC6612"/>
    <w:rsid w:val="57D06F9F"/>
    <w:rsid w:val="586C4C0A"/>
    <w:rsid w:val="5A492FF2"/>
    <w:rsid w:val="5D0F1618"/>
    <w:rsid w:val="5F8834CA"/>
    <w:rsid w:val="626F522E"/>
    <w:rsid w:val="62D82A2A"/>
    <w:rsid w:val="66BA7AB2"/>
    <w:rsid w:val="67693391"/>
    <w:rsid w:val="691763A2"/>
    <w:rsid w:val="69492B73"/>
    <w:rsid w:val="6A911499"/>
    <w:rsid w:val="6AC55C1F"/>
    <w:rsid w:val="6C3118AE"/>
    <w:rsid w:val="6D924268"/>
    <w:rsid w:val="6DC43F0E"/>
    <w:rsid w:val="716B3FD6"/>
    <w:rsid w:val="75DE61B4"/>
    <w:rsid w:val="791F6909"/>
    <w:rsid w:val="799720A1"/>
    <w:rsid w:val="7B68731C"/>
    <w:rsid w:val="7B7862FE"/>
    <w:rsid w:val="7CC9525D"/>
    <w:rsid w:val="7D3920A8"/>
    <w:rsid w:val="7D9B5469"/>
    <w:rsid w:val="7E105DCB"/>
    <w:rsid w:val="7E1F446E"/>
    <w:rsid w:val="7F4844EC"/>
    <w:rsid w:val="7F7342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spacing w:before="340" w:after="330" w:line="576" w:lineRule="auto"/>
      <w:outlineLvl w:val="0"/>
    </w:pPr>
    <w:rPr>
      <w:rFonts w:ascii="Calibri" w:hAnsi="Calibri"/>
      <w:b/>
      <w:bCs/>
      <w:kern w:val="44"/>
      <w:sz w:val="44"/>
      <w:szCs w:val="44"/>
    </w:rPr>
  </w:style>
  <w:style w:type="paragraph" w:styleId="4">
    <w:name w:val="heading 2"/>
    <w:basedOn w:val="1"/>
    <w:next w:val="1"/>
    <w:link w:val="60"/>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69"/>
    <w:qFormat/>
    <w:uiPriority w:val="0"/>
    <w:pPr>
      <w:keepNext/>
      <w:keepLines/>
      <w:spacing w:before="260" w:after="260" w:line="415" w:lineRule="auto"/>
      <w:ind w:left="459"/>
      <w:outlineLvl w:val="2"/>
    </w:pPr>
    <w:rPr>
      <w:rFonts w:eastAsia="仿宋_GB2312"/>
      <w:b/>
      <w:bCs/>
      <w:kern w:val="0"/>
      <w:sz w:val="32"/>
      <w:szCs w:val="32"/>
    </w:rPr>
  </w:style>
  <w:style w:type="paragraph" w:styleId="6">
    <w:name w:val="heading 4"/>
    <w:basedOn w:val="1"/>
    <w:next w:val="1"/>
    <w:link w:val="86"/>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5"/>
    <w:basedOn w:val="1"/>
    <w:next w:val="1"/>
    <w:link w:val="70"/>
    <w:qFormat/>
    <w:uiPriority w:val="0"/>
    <w:pPr>
      <w:keepNext/>
      <w:keepLines/>
      <w:spacing w:before="280" w:after="290" w:line="374" w:lineRule="auto"/>
      <w:outlineLvl w:val="4"/>
    </w:pPr>
    <w:rPr>
      <w:rFonts w:eastAsia="仿宋_GB2312"/>
      <w:b/>
      <w:bCs/>
      <w:kern w:val="0"/>
      <w:sz w:val="28"/>
      <w:szCs w:val="28"/>
    </w:rPr>
  </w:style>
  <w:style w:type="paragraph" w:styleId="8">
    <w:name w:val="heading 6"/>
    <w:basedOn w:val="1"/>
    <w:next w:val="1"/>
    <w:link w:val="91"/>
    <w:qFormat/>
    <w:uiPriority w:val="0"/>
    <w:pPr>
      <w:keepNext/>
      <w:keepLines/>
      <w:spacing w:before="240" w:after="64" w:line="319" w:lineRule="auto"/>
      <w:outlineLvl w:val="5"/>
    </w:pPr>
    <w:rPr>
      <w:rFonts w:ascii="Arial" w:hAnsi="Arial" w:eastAsia="黑体"/>
      <w:b/>
      <w:bCs/>
      <w:kern w:val="0"/>
      <w:sz w:val="24"/>
    </w:rPr>
  </w:style>
  <w:style w:type="paragraph" w:styleId="9">
    <w:name w:val="heading 7"/>
    <w:basedOn w:val="1"/>
    <w:next w:val="1"/>
    <w:link w:val="67"/>
    <w:qFormat/>
    <w:uiPriority w:val="0"/>
    <w:pPr>
      <w:keepNext/>
      <w:keepLines/>
      <w:spacing w:before="240" w:after="64" w:line="319" w:lineRule="auto"/>
      <w:outlineLvl w:val="6"/>
    </w:pPr>
    <w:rPr>
      <w:rFonts w:eastAsia="仿宋_GB2312"/>
      <w:b/>
      <w:bCs/>
      <w:kern w:val="0"/>
      <w:sz w:val="24"/>
    </w:rPr>
  </w:style>
  <w:style w:type="paragraph" w:styleId="10">
    <w:name w:val="heading 8"/>
    <w:basedOn w:val="1"/>
    <w:next w:val="1"/>
    <w:link w:val="54"/>
    <w:qFormat/>
    <w:uiPriority w:val="0"/>
    <w:pPr>
      <w:keepNext/>
      <w:keepLines/>
      <w:spacing w:before="240" w:after="64" w:line="319" w:lineRule="auto"/>
      <w:outlineLvl w:val="7"/>
    </w:pPr>
    <w:rPr>
      <w:rFonts w:ascii="Arial" w:hAnsi="Arial" w:eastAsia="黑体"/>
      <w:kern w:val="0"/>
      <w:sz w:val="24"/>
    </w:rPr>
  </w:style>
  <w:style w:type="paragraph" w:styleId="11">
    <w:name w:val="heading 9"/>
    <w:basedOn w:val="1"/>
    <w:next w:val="1"/>
    <w:link w:val="89"/>
    <w:qFormat/>
    <w:uiPriority w:val="0"/>
    <w:pPr>
      <w:keepNext/>
      <w:keepLines/>
      <w:spacing w:before="240" w:after="64" w:line="319" w:lineRule="auto"/>
      <w:outlineLvl w:val="8"/>
    </w:pPr>
    <w:rPr>
      <w:rFonts w:ascii="Arial" w:hAnsi="Arial" w:eastAsia="黑体"/>
      <w:kern w:val="0"/>
      <w:sz w:val="20"/>
      <w:szCs w:val="21"/>
    </w:rPr>
  </w:style>
  <w:style w:type="character" w:default="1" w:styleId="41">
    <w:name w:val="Default Paragraph Font"/>
    <w:unhideWhenUsed/>
    <w:qFormat/>
    <w:uiPriority w:val="1"/>
  </w:style>
  <w:style w:type="table" w:default="1" w:styleId="39">
    <w:name w:val="Normal Table"/>
    <w:unhideWhenUsed/>
    <w:qFormat/>
    <w:uiPriority w:val="99"/>
    <w:tblPr>
      <w:tblCellMar>
        <w:top w:w="0" w:type="dxa"/>
        <w:left w:w="108" w:type="dxa"/>
        <w:bottom w:w="0" w:type="dxa"/>
        <w:right w:w="108" w:type="dxa"/>
      </w:tblCellMar>
    </w:tblPr>
  </w:style>
  <w:style w:type="paragraph" w:styleId="2">
    <w:name w:val="Body Text"/>
    <w:basedOn w:val="1"/>
    <w:link w:val="66"/>
    <w:qFormat/>
    <w:uiPriority w:val="0"/>
    <w:pPr>
      <w:spacing w:after="120"/>
    </w:pPr>
    <w:rPr>
      <w:kern w:val="0"/>
      <w:sz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112"/>
    <w:qFormat/>
    <w:uiPriority w:val="0"/>
    <w:pPr>
      <w:ind w:firstLine="420" w:firstLineChars="200"/>
    </w:pPr>
  </w:style>
  <w:style w:type="paragraph" w:styleId="14">
    <w:name w:val="Document Map"/>
    <w:basedOn w:val="1"/>
    <w:link w:val="59"/>
    <w:qFormat/>
    <w:uiPriority w:val="0"/>
    <w:rPr>
      <w:rFonts w:ascii="Calibri"/>
      <w:kern w:val="0"/>
      <w:sz w:val="18"/>
      <w:szCs w:val="18"/>
    </w:rPr>
  </w:style>
  <w:style w:type="paragraph" w:styleId="15">
    <w:name w:val="annotation text"/>
    <w:basedOn w:val="1"/>
    <w:link w:val="73"/>
    <w:unhideWhenUsed/>
    <w:qFormat/>
    <w:uiPriority w:val="99"/>
    <w:pPr>
      <w:jc w:val="left"/>
    </w:pPr>
    <w:rPr>
      <w:kern w:val="0"/>
      <w:sz w:val="20"/>
    </w:rPr>
  </w:style>
  <w:style w:type="paragraph" w:styleId="16">
    <w:name w:val="Body Text 3"/>
    <w:basedOn w:val="1"/>
    <w:link w:val="74"/>
    <w:qFormat/>
    <w:uiPriority w:val="0"/>
    <w:rPr>
      <w:rFonts w:ascii="Calibri"/>
      <w:kern w:val="0"/>
      <w:sz w:val="24"/>
      <w:szCs w:val="20"/>
    </w:rPr>
  </w:style>
  <w:style w:type="paragraph" w:styleId="17">
    <w:name w:val="Body Text Indent"/>
    <w:basedOn w:val="1"/>
    <w:link w:val="72"/>
    <w:qFormat/>
    <w:uiPriority w:val="0"/>
    <w:pPr>
      <w:spacing w:after="120"/>
      <w:ind w:left="420" w:leftChars="200"/>
    </w:pPr>
    <w:rPr>
      <w:kern w:val="0"/>
      <w:sz w:val="20"/>
    </w:rPr>
  </w:style>
  <w:style w:type="paragraph" w:styleId="18">
    <w:name w:val="List 2"/>
    <w:basedOn w:val="1"/>
    <w:qFormat/>
    <w:uiPriority w:val="0"/>
    <w:pPr>
      <w:ind w:left="100" w:leftChars="200" w:hanging="200" w:hangingChars="200"/>
    </w:pPr>
  </w:style>
  <w:style w:type="paragraph" w:styleId="19">
    <w:name w:val="toc 5"/>
    <w:basedOn w:val="1"/>
    <w:next w:val="1"/>
    <w:qFormat/>
    <w:uiPriority w:val="0"/>
    <w:pPr>
      <w:ind w:left="1680" w:leftChars="800"/>
    </w:pPr>
    <w:rPr>
      <w:rFonts w:ascii="Calibri" w:hAnsi="Calibri"/>
      <w:szCs w:val="22"/>
    </w:rPr>
  </w:style>
  <w:style w:type="paragraph" w:styleId="20">
    <w:name w:val="toc 3"/>
    <w:basedOn w:val="1"/>
    <w:next w:val="1"/>
    <w:qFormat/>
    <w:uiPriority w:val="39"/>
    <w:pPr>
      <w:ind w:left="840" w:leftChars="400"/>
    </w:pPr>
  </w:style>
  <w:style w:type="paragraph" w:styleId="21">
    <w:name w:val="Plain Text"/>
    <w:basedOn w:val="1"/>
    <w:link w:val="58"/>
    <w:qFormat/>
    <w:uiPriority w:val="0"/>
    <w:rPr>
      <w:rFonts w:ascii="Calibri" w:hAnsi="Courier New"/>
      <w:kern w:val="0"/>
      <w:sz w:val="20"/>
      <w:szCs w:val="21"/>
    </w:rPr>
  </w:style>
  <w:style w:type="paragraph" w:styleId="22">
    <w:name w:val="toc 8"/>
    <w:basedOn w:val="1"/>
    <w:next w:val="1"/>
    <w:qFormat/>
    <w:uiPriority w:val="0"/>
    <w:pPr>
      <w:ind w:left="2940" w:leftChars="1400"/>
    </w:pPr>
    <w:rPr>
      <w:rFonts w:ascii="Calibri" w:hAnsi="Calibri"/>
      <w:szCs w:val="22"/>
    </w:rPr>
  </w:style>
  <w:style w:type="paragraph" w:styleId="23">
    <w:name w:val="Date"/>
    <w:basedOn w:val="1"/>
    <w:next w:val="1"/>
    <w:link w:val="53"/>
    <w:qFormat/>
    <w:uiPriority w:val="0"/>
    <w:rPr>
      <w:kern w:val="0"/>
      <w:sz w:val="24"/>
      <w:szCs w:val="20"/>
    </w:rPr>
  </w:style>
  <w:style w:type="paragraph" w:styleId="24">
    <w:name w:val="Body Text Indent 2"/>
    <w:basedOn w:val="1"/>
    <w:link w:val="90"/>
    <w:qFormat/>
    <w:uiPriority w:val="0"/>
    <w:pPr>
      <w:ind w:left="424" w:leftChars="202"/>
    </w:pPr>
    <w:rPr>
      <w:rFonts w:eastAsia="楷体_GB2312"/>
      <w:kern w:val="0"/>
      <w:sz w:val="28"/>
    </w:rPr>
  </w:style>
  <w:style w:type="paragraph" w:styleId="25">
    <w:name w:val="Balloon Text"/>
    <w:basedOn w:val="1"/>
    <w:link w:val="52"/>
    <w:qFormat/>
    <w:uiPriority w:val="0"/>
    <w:rPr>
      <w:kern w:val="0"/>
      <w:sz w:val="18"/>
      <w:szCs w:val="18"/>
    </w:rPr>
  </w:style>
  <w:style w:type="paragraph" w:styleId="26">
    <w:name w:val="footer"/>
    <w:basedOn w:val="1"/>
    <w:link w:val="78"/>
    <w:qFormat/>
    <w:uiPriority w:val="99"/>
    <w:pPr>
      <w:tabs>
        <w:tab w:val="center" w:pos="4153"/>
        <w:tab w:val="right" w:pos="8306"/>
      </w:tabs>
      <w:snapToGrid w:val="0"/>
      <w:jc w:val="left"/>
    </w:pPr>
    <w:rPr>
      <w:kern w:val="0"/>
      <w:sz w:val="18"/>
      <w:szCs w:val="18"/>
    </w:rPr>
  </w:style>
  <w:style w:type="paragraph" w:styleId="27">
    <w:name w:val="header"/>
    <w:basedOn w:val="1"/>
    <w:link w:val="87"/>
    <w:qFormat/>
    <w:uiPriority w:val="99"/>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widowControl/>
      <w:spacing w:after="100" w:line="276" w:lineRule="auto"/>
      <w:jc w:val="center"/>
    </w:pPr>
    <w:rPr>
      <w:rFonts w:ascii="Calibri" w:hAnsi="Calibri"/>
      <w:kern w:val="0"/>
      <w:sz w:val="22"/>
      <w:szCs w:val="22"/>
    </w:rPr>
  </w:style>
  <w:style w:type="paragraph" w:styleId="29">
    <w:name w:val="toc 4"/>
    <w:basedOn w:val="1"/>
    <w:next w:val="1"/>
    <w:qFormat/>
    <w:uiPriority w:val="0"/>
    <w:pPr>
      <w:ind w:left="1260" w:leftChars="600"/>
    </w:pPr>
    <w:rPr>
      <w:rFonts w:ascii="Calibri" w:hAnsi="Calibri"/>
      <w:szCs w:val="22"/>
    </w:rPr>
  </w:style>
  <w:style w:type="paragraph" w:styleId="30">
    <w:name w:val="Subtitle"/>
    <w:basedOn w:val="1"/>
    <w:next w:val="1"/>
    <w:link w:val="71"/>
    <w:qFormat/>
    <w:uiPriority w:val="11"/>
    <w:pPr>
      <w:spacing w:before="240" w:after="60" w:line="312" w:lineRule="auto"/>
      <w:jc w:val="center"/>
      <w:outlineLvl w:val="1"/>
    </w:pPr>
    <w:rPr>
      <w:rFonts w:ascii="Calibri Light" w:hAnsi="Calibri Light"/>
      <w:b/>
      <w:bCs/>
      <w:kern w:val="28"/>
      <w:sz w:val="32"/>
      <w:szCs w:val="32"/>
    </w:rPr>
  </w:style>
  <w:style w:type="paragraph" w:styleId="31">
    <w:name w:val="toc 6"/>
    <w:basedOn w:val="1"/>
    <w:next w:val="1"/>
    <w:qFormat/>
    <w:uiPriority w:val="0"/>
    <w:pPr>
      <w:ind w:left="2100" w:leftChars="1000"/>
    </w:pPr>
    <w:rPr>
      <w:rFonts w:ascii="Calibri" w:hAnsi="Calibri"/>
      <w:szCs w:val="22"/>
    </w:rPr>
  </w:style>
  <w:style w:type="paragraph" w:styleId="32">
    <w:name w:val="Body Text Indent 3"/>
    <w:basedOn w:val="1"/>
    <w:link w:val="88"/>
    <w:qFormat/>
    <w:uiPriority w:val="0"/>
    <w:pPr>
      <w:spacing w:after="120"/>
      <w:ind w:left="420" w:leftChars="200"/>
    </w:pPr>
    <w:rPr>
      <w:kern w:val="0"/>
      <w:sz w:val="16"/>
      <w:szCs w:val="16"/>
    </w:rPr>
  </w:style>
  <w:style w:type="paragraph" w:styleId="33">
    <w:name w:val="toc 2"/>
    <w:basedOn w:val="1"/>
    <w:next w:val="1"/>
    <w:qFormat/>
    <w:uiPriority w:val="39"/>
    <w:pPr>
      <w:widowControl/>
      <w:spacing w:after="100" w:line="276" w:lineRule="auto"/>
      <w:ind w:left="220"/>
      <w:jc w:val="left"/>
    </w:pPr>
    <w:rPr>
      <w:rFonts w:ascii="Calibri" w:hAnsi="Calibri"/>
      <w:kern w:val="0"/>
      <w:sz w:val="22"/>
      <w:szCs w:val="22"/>
    </w:rPr>
  </w:style>
  <w:style w:type="paragraph" w:styleId="34">
    <w:name w:val="toc 9"/>
    <w:basedOn w:val="1"/>
    <w:next w:val="1"/>
    <w:qFormat/>
    <w:uiPriority w:val="0"/>
    <w:pPr>
      <w:ind w:left="3360" w:leftChars="1600"/>
    </w:pPr>
    <w:rPr>
      <w:rFonts w:ascii="Calibri" w:hAnsi="Calibri"/>
      <w:szCs w:val="22"/>
    </w:rPr>
  </w:style>
  <w:style w:type="paragraph" w:styleId="3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Title"/>
    <w:basedOn w:val="1"/>
    <w:next w:val="1"/>
    <w:link w:val="50"/>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63"/>
    <w:qFormat/>
    <w:uiPriority w:val="0"/>
    <w:rPr>
      <w:b/>
      <w:bCs/>
      <w:kern w:val="2"/>
      <w:sz w:val="21"/>
    </w:rPr>
  </w:style>
  <w:style w:type="table" w:styleId="40">
    <w:name w:val="Table Grid"/>
    <w:basedOn w:val="39"/>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qFormat/>
    <w:uiPriority w:val="0"/>
    <w:rPr>
      <w:b/>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paragraph" w:customStyle="1" w:styleId="47">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character" w:customStyle="1" w:styleId="48">
    <w:name w:val="批注文字 Char"/>
    <w:qFormat/>
    <w:uiPriority w:val="0"/>
    <w:rPr>
      <w:rFonts w:ascii="Times New Roman" w:hAnsi="Times New Roman" w:cs="Times New Roman"/>
      <w:kern w:val="2"/>
      <w:sz w:val="21"/>
      <w:szCs w:val="24"/>
    </w:rPr>
  </w:style>
  <w:style w:type="character" w:customStyle="1" w:styleId="49">
    <w:name w:val="15"/>
    <w:qFormat/>
    <w:uiPriority w:val="0"/>
    <w:rPr>
      <w:rFonts w:hint="default" w:ascii="Times New Roman" w:hAnsi="Times New Roman" w:cs="Times New Roman"/>
      <w:color w:val="464445"/>
      <w:u w:val="none"/>
    </w:rPr>
  </w:style>
  <w:style w:type="character" w:customStyle="1" w:styleId="50">
    <w:name w:val="标题 Char"/>
    <w:link w:val="37"/>
    <w:qFormat/>
    <w:uiPriority w:val="0"/>
    <w:rPr>
      <w:rFonts w:ascii="Arial" w:hAnsi="Arial" w:cs="Times New Roman"/>
      <w:b/>
      <w:sz w:val="32"/>
      <w:szCs w:val="20"/>
    </w:rPr>
  </w:style>
  <w:style w:type="character" w:customStyle="1" w:styleId="51">
    <w:name w:val="正文文本缩进 Char1"/>
    <w:semiHidden/>
    <w:qFormat/>
    <w:uiPriority w:val="99"/>
    <w:rPr>
      <w:rFonts w:ascii="Times New Roman" w:hAnsi="Times New Roman" w:eastAsia="宋体" w:cs="Times New Roman"/>
      <w:szCs w:val="24"/>
    </w:rPr>
  </w:style>
  <w:style w:type="character" w:customStyle="1" w:styleId="52">
    <w:name w:val="批注框文本 Char"/>
    <w:link w:val="25"/>
    <w:qFormat/>
    <w:uiPriority w:val="0"/>
    <w:rPr>
      <w:rFonts w:ascii="Times New Roman" w:hAnsi="Times New Roman" w:cs="Times New Roman"/>
      <w:sz w:val="18"/>
      <w:szCs w:val="18"/>
    </w:rPr>
  </w:style>
  <w:style w:type="character" w:customStyle="1" w:styleId="53">
    <w:name w:val="日期 Char"/>
    <w:link w:val="23"/>
    <w:qFormat/>
    <w:uiPriority w:val="0"/>
    <w:rPr>
      <w:rFonts w:ascii="Times New Roman" w:hAnsi="Times New Roman" w:cs="Times New Roman"/>
      <w:sz w:val="24"/>
      <w:szCs w:val="20"/>
    </w:rPr>
  </w:style>
  <w:style w:type="character" w:customStyle="1" w:styleId="54">
    <w:name w:val="标题 8 Char"/>
    <w:link w:val="10"/>
    <w:qFormat/>
    <w:uiPriority w:val="0"/>
    <w:rPr>
      <w:rFonts w:ascii="Arial" w:hAnsi="Arial" w:eastAsia="黑体"/>
      <w:sz w:val="24"/>
      <w:szCs w:val="24"/>
    </w:rPr>
  </w:style>
  <w:style w:type="character" w:customStyle="1" w:styleId="55">
    <w:name w:val="标题 1 Char"/>
    <w:link w:val="3"/>
    <w:qFormat/>
    <w:uiPriority w:val="0"/>
    <w:rPr>
      <w:b/>
      <w:bCs/>
      <w:kern w:val="44"/>
      <w:sz w:val="44"/>
      <w:szCs w:val="44"/>
    </w:rPr>
  </w:style>
  <w:style w:type="character" w:customStyle="1" w:styleId="56">
    <w:name w:val="批注框文本 Char1"/>
    <w:semiHidden/>
    <w:qFormat/>
    <w:uiPriority w:val="99"/>
    <w:rPr>
      <w:rFonts w:ascii="Times New Roman" w:hAnsi="Times New Roman" w:eastAsia="宋体" w:cs="Times New Roman"/>
      <w:sz w:val="18"/>
      <w:szCs w:val="18"/>
    </w:rPr>
  </w:style>
  <w:style w:type="character" w:customStyle="1" w:styleId="57">
    <w:name w:val="文档结构图 Char1"/>
    <w:semiHidden/>
    <w:qFormat/>
    <w:uiPriority w:val="99"/>
    <w:rPr>
      <w:rFonts w:ascii="宋体" w:hAnsi="Times New Roman" w:eastAsia="宋体" w:cs="Times New Roman"/>
      <w:sz w:val="18"/>
      <w:szCs w:val="18"/>
    </w:rPr>
  </w:style>
  <w:style w:type="character" w:customStyle="1" w:styleId="58">
    <w:name w:val="纯文本 Char"/>
    <w:link w:val="21"/>
    <w:qFormat/>
    <w:uiPriority w:val="0"/>
    <w:rPr>
      <w:rFonts w:hAnsi="Courier New" w:cs="Courier New"/>
      <w:szCs w:val="21"/>
    </w:rPr>
  </w:style>
  <w:style w:type="character" w:customStyle="1" w:styleId="59">
    <w:name w:val="文档结构图 Char"/>
    <w:link w:val="14"/>
    <w:qFormat/>
    <w:uiPriority w:val="0"/>
    <w:rPr>
      <w:rFonts w:hAnsi="Times New Roman"/>
      <w:sz w:val="18"/>
      <w:szCs w:val="18"/>
    </w:rPr>
  </w:style>
  <w:style w:type="character" w:customStyle="1" w:styleId="60">
    <w:name w:val="标题 2 Char"/>
    <w:link w:val="4"/>
    <w:qFormat/>
    <w:uiPriority w:val="0"/>
    <w:rPr>
      <w:rFonts w:ascii="Arial" w:hAnsi="Arial" w:eastAsia="黑体"/>
      <w:b/>
      <w:bCs/>
      <w:sz w:val="32"/>
      <w:szCs w:val="32"/>
    </w:rPr>
  </w:style>
  <w:style w:type="character" w:customStyle="1" w:styleId="61">
    <w:name w:val="副标题 Char1"/>
    <w:qFormat/>
    <w:uiPriority w:val="11"/>
    <w:rPr>
      <w:rFonts w:ascii="Cambria" w:hAnsi="Cambria" w:eastAsia="宋体" w:cs="Times New Roman"/>
      <w:b/>
      <w:bCs/>
      <w:kern w:val="28"/>
      <w:sz w:val="32"/>
      <w:szCs w:val="32"/>
    </w:rPr>
  </w:style>
  <w:style w:type="character" w:customStyle="1" w:styleId="62">
    <w:name w:val="日期 Char1"/>
    <w:semiHidden/>
    <w:qFormat/>
    <w:uiPriority w:val="99"/>
    <w:rPr>
      <w:rFonts w:ascii="Times New Roman" w:hAnsi="Times New Roman" w:eastAsia="宋体" w:cs="Times New Roman"/>
      <w:szCs w:val="24"/>
    </w:rPr>
  </w:style>
  <w:style w:type="character" w:customStyle="1" w:styleId="63">
    <w:name w:val="批注主题 Char"/>
    <w:link w:val="38"/>
    <w:qFormat/>
    <w:uiPriority w:val="0"/>
    <w:rPr>
      <w:rFonts w:ascii="Times New Roman" w:hAnsi="Times New Roman" w:cs="Times New Roman"/>
      <w:b/>
      <w:bCs/>
      <w:kern w:val="2"/>
      <w:sz w:val="21"/>
      <w:szCs w:val="24"/>
    </w:rPr>
  </w:style>
  <w:style w:type="character" w:customStyle="1" w:styleId="64">
    <w:name w:val="正文文本缩进 3 Char1"/>
    <w:semiHidden/>
    <w:qFormat/>
    <w:uiPriority w:val="99"/>
    <w:rPr>
      <w:rFonts w:ascii="Times New Roman" w:hAnsi="Times New Roman" w:eastAsia="宋体" w:cs="Times New Roman"/>
      <w:sz w:val="16"/>
      <w:szCs w:val="16"/>
    </w:rPr>
  </w:style>
  <w:style w:type="character" w:customStyle="1" w:styleId="65">
    <w:name w:val="正文文本 Char1"/>
    <w:semiHidden/>
    <w:qFormat/>
    <w:uiPriority w:val="99"/>
    <w:rPr>
      <w:rFonts w:ascii="Times New Roman" w:hAnsi="Times New Roman" w:eastAsia="宋体" w:cs="Times New Roman"/>
      <w:szCs w:val="24"/>
    </w:rPr>
  </w:style>
  <w:style w:type="character" w:customStyle="1" w:styleId="66">
    <w:name w:val="正文文本 Char"/>
    <w:link w:val="2"/>
    <w:qFormat/>
    <w:uiPriority w:val="0"/>
    <w:rPr>
      <w:rFonts w:ascii="Times New Roman" w:hAnsi="Times New Roman" w:cs="Times New Roman"/>
      <w:szCs w:val="24"/>
    </w:rPr>
  </w:style>
  <w:style w:type="character" w:customStyle="1" w:styleId="67">
    <w:name w:val="标题 7 Char"/>
    <w:link w:val="9"/>
    <w:qFormat/>
    <w:uiPriority w:val="0"/>
    <w:rPr>
      <w:rFonts w:ascii="Times New Roman" w:hAnsi="Times New Roman" w:eastAsia="仿宋_GB2312"/>
      <w:b/>
      <w:bCs/>
      <w:sz w:val="24"/>
      <w:szCs w:val="24"/>
    </w:rPr>
  </w:style>
  <w:style w:type="character" w:customStyle="1" w:styleId="68">
    <w:name w:val="页脚 Char1"/>
    <w:semiHidden/>
    <w:qFormat/>
    <w:uiPriority w:val="99"/>
    <w:rPr>
      <w:rFonts w:ascii="Times New Roman" w:hAnsi="Times New Roman" w:eastAsia="宋体" w:cs="Times New Roman"/>
      <w:sz w:val="18"/>
      <w:szCs w:val="18"/>
    </w:rPr>
  </w:style>
  <w:style w:type="character" w:customStyle="1" w:styleId="69">
    <w:name w:val="标题 3 Char"/>
    <w:link w:val="5"/>
    <w:qFormat/>
    <w:uiPriority w:val="0"/>
    <w:rPr>
      <w:rFonts w:ascii="Times New Roman" w:hAnsi="Times New Roman" w:eastAsia="仿宋_GB2312"/>
      <w:b/>
      <w:bCs/>
      <w:sz w:val="32"/>
      <w:szCs w:val="32"/>
    </w:rPr>
  </w:style>
  <w:style w:type="character" w:customStyle="1" w:styleId="70">
    <w:name w:val="标题 5 Char"/>
    <w:link w:val="7"/>
    <w:qFormat/>
    <w:uiPriority w:val="0"/>
    <w:rPr>
      <w:rFonts w:ascii="Times New Roman" w:hAnsi="Times New Roman" w:eastAsia="仿宋_GB2312"/>
      <w:b/>
      <w:bCs/>
      <w:sz w:val="28"/>
      <w:szCs w:val="28"/>
    </w:rPr>
  </w:style>
  <w:style w:type="character" w:customStyle="1" w:styleId="71">
    <w:name w:val="副标题 Char"/>
    <w:link w:val="30"/>
    <w:qFormat/>
    <w:uiPriority w:val="11"/>
    <w:rPr>
      <w:rFonts w:ascii="Calibri Light" w:hAnsi="Calibri Light" w:cs="Times New Roman"/>
      <w:b/>
      <w:bCs/>
      <w:kern w:val="28"/>
      <w:sz w:val="32"/>
      <w:szCs w:val="32"/>
    </w:rPr>
  </w:style>
  <w:style w:type="character" w:customStyle="1" w:styleId="72">
    <w:name w:val="正文文本缩进 Char"/>
    <w:link w:val="17"/>
    <w:qFormat/>
    <w:uiPriority w:val="0"/>
    <w:rPr>
      <w:rFonts w:ascii="Times New Roman" w:hAnsi="Times New Roman" w:cs="Times New Roman"/>
      <w:szCs w:val="24"/>
    </w:rPr>
  </w:style>
  <w:style w:type="character" w:customStyle="1" w:styleId="73">
    <w:name w:val="批注文字 Char1"/>
    <w:link w:val="15"/>
    <w:semiHidden/>
    <w:qFormat/>
    <w:uiPriority w:val="99"/>
    <w:rPr>
      <w:rFonts w:ascii="Times New Roman" w:hAnsi="Times New Roman" w:eastAsia="宋体" w:cs="Times New Roman"/>
      <w:szCs w:val="24"/>
    </w:rPr>
  </w:style>
  <w:style w:type="character" w:customStyle="1" w:styleId="74">
    <w:name w:val="正文文本 3 Char"/>
    <w:link w:val="16"/>
    <w:qFormat/>
    <w:uiPriority w:val="0"/>
    <w:rPr>
      <w:rFonts w:hAnsi="Times New Roman" w:cs="Times New Roman"/>
      <w:sz w:val="24"/>
      <w:szCs w:val="20"/>
    </w:rPr>
  </w:style>
  <w:style w:type="character" w:customStyle="1" w:styleId="75">
    <w:name w:val="批注主题 Char1"/>
    <w:semiHidden/>
    <w:qFormat/>
    <w:uiPriority w:val="99"/>
    <w:rPr>
      <w:rFonts w:ascii="Times New Roman" w:hAnsi="Times New Roman" w:eastAsia="宋体" w:cs="Times New Roman"/>
      <w:b/>
      <w:bCs/>
      <w:szCs w:val="24"/>
    </w:rPr>
  </w:style>
  <w:style w:type="character" w:customStyle="1" w:styleId="76">
    <w:name w:val="标题 Char1"/>
    <w:qFormat/>
    <w:uiPriority w:val="10"/>
    <w:rPr>
      <w:rFonts w:ascii="Cambria" w:hAnsi="Cambria" w:eastAsia="宋体" w:cs="Times New Roman"/>
      <w:b/>
      <w:bCs/>
      <w:sz w:val="32"/>
      <w:szCs w:val="32"/>
    </w:rPr>
  </w:style>
  <w:style w:type="character" w:customStyle="1" w:styleId="77">
    <w:name w:val="纯文本 Char1"/>
    <w:semiHidden/>
    <w:qFormat/>
    <w:uiPriority w:val="99"/>
    <w:rPr>
      <w:rFonts w:ascii="宋体" w:hAnsi="Courier New" w:eastAsia="宋体" w:cs="Courier New"/>
      <w:szCs w:val="21"/>
    </w:rPr>
  </w:style>
  <w:style w:type="character" w:customStyle="1" w:styleId="78">
    <w:name w:val="页脚 Char"/>
    <w:link w:val="26"/>
    <w:qFormat/>
    <w:uiPriority w:val="99"/>
    <w:rPr>
      <w:rFonts w:ascii="Times New Roman" w:hAnsi="Times New Roman" w:cs="Times New Roman"/>
      <w:sz w:val="18"/>
      <w:szCs w:val="18"/>
    </w:rPr>
  </w:style>
  <w:style w:type="character" w:customStyle="1" w:styleId="79">
    <w:name w:val="font161"/>
    <w:qFormat/>
    <w:uiPriority w:val="0"/>
    <w:rPr>
      <w:b/>
      <w:bCs/>
      <w:sz w:val="32"/>
      <w:szCs w:val="32"/>
    </w:rPr>
  </w:style>
  <w:style w:type="character" w:customStyle="1" w:styleId="80">
    <w:name w:val="z-窗体顶端 Char"/>
    <w:link w:val="81"/>
    <w:qFormat/>
    <w:uiPriority w:val="0"/>
    <w:rPr>
      <w:rFonts w:ascii="Arial" w:hAnsi="Times New Roman" w:eastAsia="宋体" w:cs="Times New Roman"/>
      <w:vanish/>
      <w:sz w:val="16"/>
      <w:szCs w:val="24"/>
    </w:rPr>
  </w:style>
  <w:style w:type="paragraph" w:customStyle="1" w:styleId="81">
    <w:name w:val="z-窗体顶端1"/>
    <w:basedOn w:val="1"/>
    <w:next w:val="1"/>
    <w:link w:val="80"/>
    <w:qFormat/>
    <w:uiPriority w:val="0"/>
    <w:pPr>
      <w:pBdr>
        <w:bottom w:val="single" w:color="auto" w:sz="6" w:space="1"/>
      </w:pBdr>
      <w:jc w:val="center"/>
    </w:pPr>
    <w:rPr>
      <w:rFonts w:ascii="Arial"/>
      <w:vanish/>
      <w:kern w:val="0"/>
      <w:sz w:val="16"/>
    </w:rPr>
  </w:style>
  <w:style w:type="character" w:customStyle="1" w:styleId="82">
    <w:name w:val="z-窗体底端 Char"/>
    <w:link w:val="83"/>
    <w:qFormat/>
    <w:uiPriority w:val="0"/>
    <w:rPr>
      <w:rFonts w:ascii="Arial" w:hAnsi="Times New Roman" w:eastAsia="宋体" w:cs="Times New Roman"/>
      <w:vanish/>
      <w:sz w:val="16"/>
      <w:szCs w:val="24"/>
    </w:rPr>
  </w:style>
  <w:style w:type="paragraph" w:customStyle="1" w:styleId="83">
    <w:name w:val="z-窗体底端1"/>
    <w:basedOn w:val="1"/>
    <w:next w:val="1"/>
    <w:link w:val="82"/>
    <w:qFormat/>
    <w:uiPriority w:val="0"/>
    <w:pPr>
      <w:pBdr>
        <w:top w:val="single" w:color="auto" w:sz="6" w:space="1"/>
      </w:pBdr>
      <w:jc w:val="center"/>
    </w:pPr>
    <w:rPr>
      <w:rFonts w:ascii="Arial"/>
      <w:vanish/>
      <w:kern w:val="0"/>
      <w:sz w:val="16"/>
    </w:rPr>
  </w:style>
  <w:style w:type="character" w:customStyle="1" w:styleId="84">
    <w:name w:val="页眉 Char1"/>
    <w:semiHidden/>
    <w:qFormat/>
    <w:uiPriority w:val="99"/>
    <w:rPr>
      <w:rFonts w:ascii="Times New Roman" w:hAnsi="Times New Roman" w:eastAsia="宋体" w:cs="Times New Roman"/>
      <w:sz w:val="18"/>
      <w:szCs w:val="18"/>
    </w:rPr>
  </w:style>
  <w:style w:type="character" w:customStyle="1" w:styleId="85">
    <w:name w:val="正文文本 3 Char1"/>
    <w:semiHidden/>
    <w:qFormat/>
    <w:uiPriority w:val="99"/>
    <w:rPr>
      <w:rFonts w:ascii="Times New Roman" w:hAnsi="Times New Roman" w:eastAsia="宋体" w:cs="Times New Roman"/>
      <w:sz w:val="16"/>
      <w:szCs w:val="16"/>
    </w:rPr>
  </w:style>
  <w:style w:type="character" w:customStyle="1" w:styleId="86">
    <w:name w:val="标题 4 Char"/>
    <w:link w:val="6"/>
    <w:qFormat/>
    <w:uiPriority w:val="0"/>
    <w:rPr>
      <w:rFonts w:ascii="Arial" w:hAnsi="Arial" w:eastAsia="黑体"/>
      <w:b/>
      <w:bCs/>
      <w:sz w:val="28"/>
      <w:szCs w:val="28"/>
    </w:rPr>
  </w:style>
  <w:style w:type="character" w:customStyle="1" w:styleId="87">
    <w:name w:val="页眉 Char"/>
    <w:link w:val="27"/>
    <w:qFormat/>
    <w:uiPriority w:val="99"/>
    <w:rPr>
      <w:rFonts w:ascii="Times New Roman" w:hAnsi="Times New Roman" w:cs="Times New Roman"/>
      <w:sz w:val="18"/>
      <w:szCs w:val="18"/>
    </w:rPr>
  </w:style>
  <w:style w:type="character" w:customStyle="1" w:styleId="88">
    <w:name w:val="正文文本缩进 3 Char"/>
    <w:link w:val="32"/>
    <w:qFormat/>
    <w:uiPriority w:val="0"/>
    <w:rPr>
      <w:rFonts w:ascii="Times New Roman" w:hAnsi="Times New Roman" w:cs="Times New Roman"/>
      <w:sz w:val="16"/>
      <w:szCs w:val="16"/>
    </w:rPr>
  </w:style>
  <w:style w:type="character" w:customStyle="1" w:styleId="89">
    <w:name w:val="标题 9 Char"/>
    <w:link w:val="11"/>
    <w:qFormat/>
    <w:uiPriority w:val="0"/>
    <w:rPr>
      <w:rFonts w:ascii="Arial" w:hAnsi="Arial" w:eastAsia="黑体"/>
      <w:szCs w:val="21"/>
    </w:rPr>
  </w:style>
  <w:style w:type="character" w:customStyle="1" w:styleId="90">
    <w:name w:val="正文文本缩进 2 Char"/>
    <w:link w:val="24"/>
    <w:qFormat/>
    <w:uiPriority w:val="0"/>
    <w:rPr>
      <w:rFonts w:ascii="Times New Roman" w:hAnsi="Times New Roman" w:eastAsia="楷体_GB2312" w:cs="Times New Roman"/>
      <w:sz w:val="28"/>
      <w:szCs w:val="24"/>
    </w:rPr>
  </w:style>
  <w:style w:type="character" w:customStyle="1" w:styleId="91">
    <w:name w:val="标题 6 Char"/>
    <w:link w:val="8"/>
    <w:qFormat/>
    <w:uiPriority w:val="0"/>
    <w:rPr>
      <w:rFonts w:ascii="Arial" w:hAnsi="Arial" w:eastAsia="黑体"/>
      <w:b/>
      <w:bCs/>
      <w:sz w:val="24"/>
      <w:szCs w:val="24"/>
    </w:rPr>
  </w:style>
  <w:style w:type="paragraph" w:customStyle="1" w:styleId="92">
    <w:name w:val="1"/>
    <w:basedOn w:val="1"/>
    <w:qFormat/>
    <w:uiPriority w:val="0"/>
  </w:style>
  <w:style w:type="paragraph" w:customStyle="1" w:styleId="93">
    <w:name w:val="表格"/>
    <w:basedOn w:val="1"/>
    <w:qFormat/>
    <w:uiPriority w:val="0"/>
    <w:pPr>
      <w:jc w:val="center"/>
      <w:textAlignment w:val="center"/>
    </w:pPr>
    <w:rPr>
      <w:rFonts w:ascii="华文细黑" w:hAnsi="华文细黑"/>
      <w:kern w:val="0"/>
      <w:szCs w:val="20"/>
    </w:rPr>
  </w:style>
  <w:style w:type="paragraph" w:customStyle="1" w:styleId="9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5">
    <w:name w:val="zhang"/>
    <w:basedOn w:val="1"/>
    <w:qFormat/>
    <w:uiPriority w:val="0"/>
    <w:pPr>
      <w:spacing w:before="100" w:beforeAutospacing="1" w:after="100" w:afterAutospacing="1"/>
    </w:pPr>
    <w:rPr>
      <w:b/>
      <w:bCs/>
      <w:smallCaps/>
      <w:color w:val="000000"/>
      <w:sz w:val="20"/>
      <w:szCs w:val="20"/>
    </w:rPr>
  </w:style>
  <w:style w:type="paragraph" w:customStyle="1" w:styleId="96">
    <w:name w:val="p0"/>
    <w:basedOn w:val="1"/>
    <w:qFormat/>
    <w:uiPriority w:val="0"/>
    <w:rPr>
      <w:szCs w:val="21"/>
    </w:rPr>
  </w:style>
  <w:style w:type="paragraph" w:customStyle="1" w:styleId="97">
    <w:name w:val="Char Char10 Char"/>
    <w:basedOn w:val="1"/>
    <w:qFormat/>
    <w:uiPriority w:val="0"/>
  </w:style>
  <w:style w:type="paragraph" w:customStyle="1" w:styleId="9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9">
    <w:name w:val="_Style 4"/>
    <w:basedOn w:val="3"/>
    <w:next w:val="1"/>
    <w:qFormat/>
    <w:uiPriority w:val="0"/>
    <w:pPr>
      <w:outlineLvl w:val="9"/>
    </w:pPr>
  </w:style>
  <w:style w:type="paragraph" w:customStyle="1" w:styleId="100">
    <w:name w:val="Char"/>
    <w:basedOn w:val="1"/>
    <w:qFormat/>
    <w:uiPriority w:val="0"/>
    <w:pPr>
      <w:tabs>
        <w:tab w:val="left" w:pos="360"/>
      </w:tabs>
    </w:pPr>
    <w:rPr>
      <w:sz w:val="24"/>
    </w:rPr>
  </w:style>
  <w:style w:type="paragraph" w:customStyle="1" w:styleId="10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0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3">
    <w:name w:val="样式 标题 3 + (中文) 黑体 小四 非加粗 段前: 7.8 磅 段后: 0 磅 行距: 固定值 20 磅"/>
    <w:basedOn w:val="5"/>
    <w:qFormat/>
    <w:uiPriority w:val="0"/>
    <w:pPr>
      <w:spacing w:before="0" w:after="0" w:line="400" w:lineRule="exact"/>
      <w:ind w:left="0"/>
    </w:pPr>
    <w:rPr>
      <w:rFonts w:eastAsia="黑体" w:cs="宋体"/>
      <w:b w:val="0"/>
      <w:bCs w:val="0"/>
      <w:sz w:val="24"/>
      <w:szCs w:val="20"/>
    </w:rPr>
  </w:style>
  <w:style w:type="paragraph" w:customStyle="1" w:styleId="104">
    <w:name w:val="列出段落1"/>
    <w:basedOn w:val="1"/>
    <w:qFormat/>
    <w:uiPriority w:val="0"/>
    <w:pPr>
      <w:spacing w:line="360" w:lineRule="auto"/>
      <w:ind w:left="200" w:leftChars="200" w:firstLine="420" w:firstLineChars="200"/>
      <w:jc w:val="left"/>
    </w:pPr>
    <w:rPr>
      <w:sz w:val="24"/>
      <w:szCs w:val="22"/>
    </w:rPr>
  </w:style>
  <w:style w:type="paragraph" w:customStyle="1" w:styleId="10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06">
    <w:name w:val="Char11"/>
    <w:basedOn w:val="1"/>
    <w:qFormat/>
    <w:uiPriority w:val="0"/>
    <w:pPr>
      <w:ind w:left="567" w:hanging="283"/>
    </w:pPr>
    <w:rPr>
      <w:rFonts w:ascii="宋体" w:hAnsi="宋体"/>
      <w:sz w:val="28"/>
    </w:rPr>
  </w:style>
  <w:style w:type="paragraph" w:customStyle="1" w:styleId="107">
    <w:name w:val="表格文字"/>
    <w:basedOn w:val="1"/>
    <w:qFormat/>
    <w:uiPriority w:val="0"/>
    <w:pPr>
      <w:adjustRightInd w:val="0"/>
      <w:spacing w:line="420" w:lineRule="atLeast"/>
      <w:jc w:val="left"/>
      <w:textAlignment w:val="baseline"/>
    </w:pPr>
    <w:rPr>
      <w:kern w:val="0"/>
      <w:szCs w:val="20"/>
    </w:rPr>
  </w:style>
  <w:style w:type="paragraph" w:customStyle="1" w:styleId="108">
    <w:name w:val="正文文本缩进1"/>
    <w:basedOn w:val="1"/>
    <w:qFormat/>
    <w:uiPriority w:val="0"/>
    <w:pPr>
      <w:snapToGrid w:val="0"/>
      <w:spacing w:after="120" w:line="360" w:lineRule="auto"/>
      <w:ind w:left="420" w:leftChars="200" w:firstLine="560" w:firstLineChars="200"/>
      <w:jc w:val="left"/>
    </w:pPr>
    <w:rPr>
      <w:rFonts w:ascii="仿宋" w:hAnsi="仿宋" w:eastAsia="仿宋" w:cs="仿宋"/>
      <w:color w:val="000000"/>
      <w:szCs w:val="28"/>
    </w:rPr>
  </w:style>
  <w:style w:type="paragraph" w:customStyle="1" w:styleId="109">
    <w:name w:val="Char1"/>
    <w:basedOn w:val="1"/>
    <w:qFormat/>
    <w:uiPriority w:val="0"/>
    <w:pPr>
      <w:widowControl/>
      <w:spacing w:after="160" w:line="240" w:lineRule="exact"/>
      <w:jc w:val="left"/>
    </w:pPr>
    <w:rPr>
      <w:rFonts w:ascii="宋体" w:hAnsi="宋体"/>
      <w:kern w:val="0"/>
      <w:sz w:val="20"/>
      <w:szCs w:val="20"/>
      <w:lang w:eastAsia="en-US"/>
    </w:rPr>
  </w:style>
  <w:style w:type="paragraph" w:customStyle="1" w:styleId="110">
    <w:name w:val="列出段落2"/>
    <w:basedOn w:val="1"/>
    <w:qFormat/>
    <w:uiPriority w:val="99"/>
    <w:pPr>
      <w:ind w:firstLine="420" w:firstLineChars="200"/>
    </w:pPr>
  </w:style>
  <w:style w:type="paragraph" w:customStyle="1" w:styleId="111">
    <w:name w:val="_Style 1"/>
    <w:basedOn w:val="1"/>
    <w:qFormat/>
    <w:uiPriority w:val="34"/>
    <w:pPr>
      <w:ind w:firstLine="420" w:firstLineChars="200"/>
    </w:pPr>
  </w:style>
  <w:style w:type="character" w:customStyle="1" w:styleId="112">
    <w:name w:val="正文缩进 Char"/>
    <w:link w:val="13"/>
    <w:qFormat/>
    <w:uiPriority w:val="0"/>
    <w:rPr>
      <w:rFonts w:ascii="Times New Roman" w:hAnsi="Times New Roman"/>
      <w:kern w:val="2"/>
      <w:sz w:val="21"/>
      <w:szCs w:val="24"/>
    </w:rPr>
  </w:style>
  <w:style w:type="paragraph" w:customStyle="1" w:styleId="113">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List Paragraph"/>
    <w:basedOn w:val="1"/>
    <w:unhideWhenUsed/>
    <w:qFormat/>
    <w:uiPriority w:val="34"/>
    <w:pPr>
      <w:ind w:firstLine="420" w:firstLineChars="200"/>
    </w:pPr>
  </w:style>
  <w:style w:type="paragraph" w:customStyle="1" w:styleId="116">
    <w:name w:val="p15"/>
    <w:basedOn w:val="1"/>
    <w:qFormat/>
    <w:uiPriority w:val="0"/>
    <w:pPr>
      <w:widowControl/>
      <w:jc w:val="left"/>
    </w:pPr>
    <w:rPr>
      <w:rFonts w:ascii="Arial" w:hAnsi="Arial" w:cs="Arial"/>
      <w:kern w:val="0"/>
      <w:sz w:val="24"/>
    </w:rPr>
  </w:style>
  <w:style w:type="paragraph" w:customStyle="1" w:styleId="117">
    <w:name w:val="正文1"/>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7A1438-D7E2-4F64-8300-E97FF6CA417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3331</Words>
  <Characters>18987</Characters>
  <Lines>158</Lines>
  <Paragraphs>44</Paragraphs>
  <TotalTime>0</TotalTime>
  <ScaleCrop>false</ScaleCrop>
  <LinksUpToDate>false</LinksUpToDate>
  <CharactersWithSpaces>22274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2017-06-12T02:06:00Z</dcterms:created>
  <dc:creator>微软用户</dc:creator>
  <cp:lastModifiedBy>Lee  Ho °</cp:lastModifiedBy>
  <cp:lastPrinted>2018-01-17T00:43:00Z</cp:lastPrinted>
  <dcterms:modified xsi:type="dcterms:W3CDTF">2020-06-23T08:58:08Z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