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spacing w:line="360" w:lineRule="auto"/>
        <w:jc w:val="center"/>
        <w:rPr>
          <w:rFonts w:ascii="黑体" w:hAnsi="黑体" w:eastAsia="黑体"/>
          <w:color w:val="auto"/>
          <w:sz w:val="28"/>
          <w:szCs w:val="28"/>
          <w:highlight w:val="none"/>
        </w:rPr>
      </w:pPr>
      <w:r>
        <w:rPr>
          <w:rFonts w:hint="eastAsia" w:ascii="黑体" w:hAnsi="黑体" w:eastAsia="黑体"/>
          <w:color w:val="auto"/>
          <w:kern w:val="44"/>
          <w:sz w:val="28"/>
          <w:szCs w:val="28"/>
          <w:highlight w:val="none"/>
          <w:lang w:eastAsia="zh-CN"/>
        </w:rPr>
        <w:t>国网河南省电力公司三门峡市陕州供电公司生产综合用房项目</w:t>
      </w:r>
      <w:r>
        <w:rPr>
          <w:rFonts w:hint="eastAsia" w:ascii="黑体" w:hAnsi="黑体" w:eastAsia="黑体"/>
          <w:color w:val="auto"/>
          <w:kern w:val="44"/>
          <w:sz w:val="28"/>
          <w:szCs w:val="28"/>
          <w:highlight w:val="none"/>
        </w:rPr>
        <w:t>电梯采购及安装招标公告</w:t>
      </w:r>
    </w:p>
    <w:p>
      <w:pPr>
        <w:shd w:val="clear" w:color="auto" w:fill="FFFFFF"/>
        <w:spacing w:line="360" w:lineRule="auto"/>
        <w:jc w:val="center"/>
        <w:rPr>
          <w:rFonts w:ascii="黑体" w:eastAsia="黑体"/>
          <w:color w:val="auto"/>
          <w:highlight w:val="none"/>
        </w:rPr>
      </w:pPr>
      <w:r>
        <w:rPr>
          <w:rFonts w:hint="eastAsia" w:ascii="黑体" w:eastAsia="黑体"/>
          <w:color w:val="auto"/>
          <w:highlight w:val="none"/>
        </w:rPr>
        <w:t>招标编号：WX2019-2018</w:t>
      </w:r>
    </w:p>
    <w:p>
      <w:pPr>
        <w:pStyle w:val="9"/>
        <w:shd w:val="clear" w:color="auto" w:fill="FFFFFF"/>
        <w:spacing w:line="300" w:lineRule="auto"/>
        <w:outlineLvl w:val="0"/>
        <w:rPr>
          <w:rFonts w:ascii="Cambria" w:hAnsi="宋体" w:eastAsia="宋体"/>
          <w:b/>
          <w:bCs/>
          <w:color w:val="auto"/>
          <w:szCs w:val="32"/>
          <w:highlight w:val="none"/>
        </w:rPr>
      </w:pPr>
      <w:bookmarkStart w:id="0" w:name="_Toc144974394"/>
      <w:bookmarkStart w:id="1" w:name="_Toc14066"/>
      <w:bookmarkStart w:id="2" w:name="_Toc292915571"/>
      <w:bookmarkStart w:id="3" w:name="_Toc292788173"/>
      <w:bookmarkStart w:id="4" w:name="_Toc330109337"/>
      <w:bookmarkStart w:id="5" w:name="_Toc509584161"/>
      <w:bookmarkStart w:id="6" w:name="_Toc152047191"/>
      <w:bookmarkStart w:id="7" w:name="_Toc496048472"/>
      <w:bookmarkStart w:id="8" w:name="_Toc2417"/>
      <w:bookmarkStart w:id="9" w:name="_Toc13345"/>
      <w:r>
        <w:rPr>
          <w:rFonts w:hint="eastAsia" w:ascii="Cambria" w:hAnsi="宋体" w:eastAsia="宋体"/>
          <w:b/>
          <w:bCs/>
          <w:color w:val="auto"/>
          <w:szCs w:val="32"/>
          <w:highlight w:val="none"/>
        </w:rPr>
        <w:t>1.招标条件</w:t>
      </w:r>
      <w:bookmarkEnd w:id="0"/>
      <w:bookmarkEnd w:id="1"/>
      <w:bookmarkEnd w:id="2"/>
      <w:bookmarkEnd w:id="3"/>
      <w:bookmarkEnd w:id="4"/>
      <w:bookmarkEnd w:id="5"/>
      <w:bookmarkEnd w:id="6"/>
      <w:bookmarkEnd w:id="7"/>
      <w:bookmarkEnd w:id="8"/>
      <w:bookmarkEnd w:id="9"/>
    </w:p>
    <w:p>
      <w:pPr>
        <w:pStyle w:val="9"/>
        <w:shd w:val="clear" w:color="auto" w:fill="FFFFFF"/>
        <w:spacing w:line="300" w:lineRule="auto"/>
        <w:ind w:firstLine="420" w:firstLineChars="200"/>
        <w:outlineLvl w:val="0"/>
        <w:rPr>
          <w:rFonts w:hint="eastAsia" w:ascii="宋体" w:hAnsi="宋体" w:eastAsia="宋体"/>
          <w:b w:val="0"/>
          <w:color w:val="auto"/>
          <w:kern w:val="2"/>
          <w:sz w:val="21"/>
          <w:szCs w:val="20"/>
          <w:lang w:val="en-US" w:eastAsia="zh-CN" w:bidi="ar-SA"/>
        </w:rPr>
      </w:pPr>
      <w:bookmarkStart w:id="10" w:name="_Toc144974395"/>
      <w:bookmarkStart w:id="11" w:name="_Toc8062"/>
      <w:bookmarkStart w:id="12" w:name="_Toc330109338"/>
      <w:bookmarkStart w:id="13" w:name="_Toc292788174"/>
      <w:bookmarkStart w:id="14" w:name="_Toc427"/>
      <w:bookmarkStart w:id="15" w:name="_Toc509584162"/>
      <w:bookmarkStart w:id="16" w:name="_Toc21474"/>
      <w:bookmarkStart w:id="17" w:name="_Toc292915572"/>
      <w:bookmarkStart w:id="18" w:name="_Toc496048473"/>
      <w:bookmarkStart w:id="19" w:name="_Toc152047192"/>
      <w:r>
        <w:rPr>
          <w:rFonts w:hint="eastAsia" w:ascii="宋体" w:hAnsi="宋体" w:eastAsia="宋体"/>
          <w:b w:val="0"/>
          <w:color w:val="auto"/>
          <w:kern w:val="2"/>
          <w:sz w:val="21"/>
          <w:szCs w:val="20"/>
          <w:lang w:val="en-US" w:eastAsia="zh-CN" w:bidi="ar-SA"/>
        </w:rPr>
        <w:t>本招标项目国网河南省电力公司三门峡市陕州供电公司生产综合用房项目已由后勤小型基建【（2018）93】号批准建设，招标人（项目业主）为国网河南省电力公司三门峡市陕州供电公司，建设资金为自筹资金，项目出资比例为100%。项目已具备招标条件，现对该项目的电梯采购及安装进行公开招标。</w:t>
      </w:r>
    </w:p>
    <w:p>
      <w:pPr>
        <w:pStyle w:val="9"/>
        <w:shd w:val="clear" w:color="auto" w:fill="FFFFFF"/>
        <w:spacing w:line="300" w:lineRule="auto"/>
        <w:outlineLvl w:val="0"/>
        <w:rPr>
          <w:rFonts w:ascii="Cambria" w:hAnsi="宋体" w:eastAsia="宋体"/>
          <w:b/>
          <w:bCs/>
          <w:color w:val="auto"/>
          <w:szCs w:val="32"/>
          <w:highlight w:val="none"/>
        </w:rPr>
      </w:pPr>
      <w:r>
        <w:rPr>
          <w:rFonts w:hint="eastAsia" w:ascii="Cambria" w:hAnsi="宋体" w:eastAsia="宋体"/>
          <w:b/>
          <w:bCs/>
          <w:color w:val="auto"/>
          <w:szCs w:val="32"/>
          <w:highlight w:val="none"/>
        </w:rPr>
        <w:t>2.项目概况与招标范围</w:t>
      </w:r>
      <w:bookmarkEnd w:id="10"/>
      <w:bookmarkEnd w:id="11"/>
      <w:bookmarkEnd w:id="12"/>
      <w:bookmarkEnd w:id="13"/>
      <w:bookmarkEnd w:id="14"/>
      <w:bookmarkEnd w:id="15"/>
      <w:bookmarkEnd w:id="16"/>
      <w:bookmarkEnd w:id="17"/>
      <w:bookmarkEnd w:id="18"/>
      <w:bookmarkEnd w:id="19"/>
    </w:p>
    <w:p>
      <w:pPr>
        <w:shd w:val="clear" w:color="auto" w:fill="FFFFFF"/>
        <w:spacing w:line="300" w:lineRule="auto"/>
        <w:ind w:firstLine="424" w:firstLineChars="202"/>
        <w:rPr>
          <w:color w:val="auto"/>
          <w:highlight w:val="none"/>
        </w:rPr>
      </w:pPr>
      <w:bookmarkStart w:id="20" w:name="_Toc152047193"/>
      <w:bookmarkStart w:id="21" w:name="_Toc330109339"/>
      <w:bookmarkStart w:id="22" w:name="_Toc144974396"/>
      <w:bookmarkStart w:id="23" w:name="_Toc292915573"/>
      <w:bookmarkStart w:id="24" w:name="_Toc292788175"/>
      <w:r>
        <w:rPr>
          <w:rFonts w:hint="eastAsia"/>
          <w:color w:val="auto"/>
          <w:highlight w:val="none"/>
        </w:rPr>
        <w:t>2.1建设地点：</w:t>
      </w:r>
      <w:r>
        <w:rPr>
          <w:rFonts w:hint="eastAsia" w:ascii="宋体" w:hAnsi="宋体" w:cs="宋体"/>
          <w:color w:val="auto"/>
          <w:sz w:val="21"/>
          <w:szCs w:val="21"/>
        </w:rPr>
        <w:t>三门峡市陕州区安国路东，王寨路南</w:t>
      </w:r>
      <w:r>
        <w:rPr>
          <w:rFonts w:hint="eastAsia"/>
          <w:color w:val="auto"/>
          <w:highlight w:val="none"/>
        </w:rPr>
        <w:t>。</w:t>
      </w:r>
    </w:p>
    <w:p>
      <w:pPr>
        <w:shd w:val="clear" w:color="auto" w:fill="FFFFFF"/>
        <w:spacing w:line="300" w:lineRule="auto"/>
        <w:ind w:firstLine="424" w:firstLineChars="202"/>
        <w:rPr>
          <w:color w:val="auto"/>
          <w:highlight w:val="none"/>
        </w:rPr>
      </w:pPr>
      <w:r>
        <w:rPr>
          <w:rFonts w:hint="eastAsia"/>
          <w:color w:val="auto"/>
          <w:highlight w:val="none"/>
        </w:rPr>
        <w:t>2.2规模：</w:t>
      </w:r>
      <w:r>
        <w:rPr>
          <w:rFonts w:hint="eastAsia" w:ascii="宋体" w:hAnsi="宋体" w:cs="宋体"/>
          <w:color w:val="auto"/>
          <w:sz w:val="21"/>
          <w:szCs w:val="21"/>
        </w:rPr>
        <w:t>建设规模：总建筑面积78</w:t>
      </w:r>
      <w:r>
        <w:rPr>
          <w:rFonts w:hint="eastAsia" w:ascii="宋体" w:hAnsi="宋体" w:cs="宋体"/>
          <w:color w:val="auto"/>
          <w:sz w:val="21"/>
          <w:szCs w:val="21"/>
          <w:lang w:val="en-US" w:eastAsia="zh-CN"/>
        </w:rPr>
        <w:t>16</w:t>
      </w:r>
      <w:r>
        <w:rPr>
          <w:rFonts w:hint="eastAsia" w:ascii="宋体" w:hAnsi="宋体" w:cs="宋体"/>
          <w:color w:val="auto"/>
          <w:sz w:val="21"/>
          <w:szCs w:val="21"/>
        </w:rPr>
        <w:t>.0</w:t>
      </w:r>
      <w:r>
        <w:rPr>
          <w:rFonts w:hint="eastAsia" w:ascii="宋体" w:hAnsi="宋体" w:cs="宋体"/>
          <w:color w:val="auto"/>
          <w:sz w:val="21"/>
          <w:szCs w:val="21"/>
          <w:lang w:val="en-US" w:eastAsia="zh-CN"/>
        </w:rPr>
        <w:t>0</w:t>
      </w:r>
      <w:r>
        <w:rPr>
          <w:rFonts w:hint="eastAsia" w:ascii="宋体" w:hAnsi="宋体" w:cs="宋体"/>
          <w:color w:val="auto"/>
          <w:sz w:val="21"/>
          <w:szCs w:val="21"/>
        </w:rPr>
        <w:t>平方米；建设内容：国网河南三门峡市陕州供电公司生产综合管理用房项目施工图纸所示全部内容</w:t>
      </w:r>
      <w:r>
        <w:rPr>
          <w:rFonts w:hint="eastAsia"/>
          <w:color w:val="auto"/>
          <w:highlight w:val="none"/>
        </w:rPr>
        <w:t>。</w:t>
      </w:r>
    </w:p>
    <w:p>
      <w:pPr>
        <w:shd w:val="clear" w:color="auto" w:fill="FFFFFF"/>
        <w:spacing w:line="300" w:lineRule="auto"/>
        <w:ind w:firstLine="424" w:firstLineChars="202"/>
        <w:rPr>
          <w:color w:val="auto"/>
          <w:highlight w:val="none"/>
        </w:rPr>
      </w:pPr>
      <w:r>
        <w:rPr>
          <w:rFonts w:hint="eastAsia"/>
          <w:color w:val="auto"/>
          <w:highlight w:val="none"/>
        </w:rPr>
        <w:t>2.3招标范围</w:t>
      </w:r>
      <w:r>
        <w:rPr>
          <w:rFonts w:hint="eastAsia"/>
          <w:color w:val="auto"/>
          <w:highlight w:val="none"/>
          <w:lang w:eastAsia="zh-CN"/>
        </w:rPr>
        <w:t>：国网河南省电力公司三门峡市陕州供电公司生产综合用房项目电梯（</w:t>
      </w:r>
      <w:r>
        <w:rPr>
          <w:rFonts w:hint="eastAsia"/>
          <w:color w:val="auto"/>
          <w:highlight w:val="none"/>
          <w:lang w:val="en-US" w:eastAsia="zh-CN"/>
        </w:rPr>
        <w:t>客梯</w:t>
      </w:r>
      <w:r>
        <w:rPr>
          <w:rFonts w:hint="eastAsia"/>
          <w:color w:val="auto"/>
          <w:highlight w:val="none"/>
          <w:lang w:eastAsia="zh-CN"/>
        </w:rPr>
        <w:t>）</w:t>
      </w:r>
      <w:r>
        <w:rPr>
          <w:rFonts w:hint="eastAsia"/>
          <w:color w:val="auto"/>
          <w:highlight w:val="none"/>
        </w:rPr>
        <w:t>的采购</w:t>
      </w:r>
      <w:r>
        <w:rPr>
          <w:color w:val="auto"/>
          <w:highlight w:val="none"/>
        </w:rPr>
        <w:t>/</w:t>
      </w:r>
      <w:r>
        <w:rPr>
          <w:rFonts w:hint="eastAsia"/>
          <w:color w:val="auto"/>
          <w:highlight w:val="none"/>
        </w:rPr>
        <w:t>制造、工程深化设计、制造、包装、运输及运输保险、安装、土建预埋检查、调试、检验、检测、试车、备品备件、专用工器具，满足设备的安装调试及运行维护，相关系统的联调和参加验收等。委托进行过程监检和验收取证、直至最后交付使用的交钥匙工程，及其人员培训、设计联络会、技术服务（包括技术资料、图纸的提供）、现场服务、售后服务和其它所有相关内容等。</w:t>
      </w:r>
    </w:p>
    <w:p>
      <w:pPr>
        <w:shd w:val="clear" w:color="auto" w:fill="FFFFFF"/>
        <w:spacing w:line="300" w:lineRule="auto"/>
        <w:ind w:firstLine="424" w:firstLineChars="202"/>
        <w:rPr>
          <w:color w:val="auto"/>
          <w:highlight w:val="none"/>
        </w:rPr>
      </w:pPr>
      <w:r>
        <w:rPr>
          <w:rFonts w:hint="eastAsia"/>
          <w:color w:val="auto"/>
          <w:highlight w:val="none"/>
          <w:lang w:eastAsia="zh-CN"/>
        </w:rPr>
        <w:t>国网河南省电力公司三门峡市陕州供电公司生产综合用房项目</w:t>
      </w:r>
      <w:r>
        <w:rPr>
          <w:rFonts w:hint="eastAsia"/>
          <w:color w:val="auto"/>
          <w:highlight w:val="none"/>
        </w:rPr>
        <w:t>电梯参数表（详细技术参数见招标文件）：</w:t>
      </w:r>
    </w:p>
    <w:tbl>
      <w:tblPr>
        <w:tblStyle w:val="4"/>
        <w:tblW w:w="822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053"/>
        <w:gridCol w:w="516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0" w:hRule="exact"/>
          <w:jc w:val="center"/>
        </w:trPr>
        <w:tc>
          <w:tcPr>
            <w:tcW w:w="3053" w:type="dxa"/>
            <w:tcBorders>
              <w:top w:val="single" w:color="auto" w:sz="4" w:space="0"/>
              <w:left w:val="single" w:color="auto" w:sz="4" w:space="0"/>
              <w:bottom w:val="single" w:color="auto" w:sz="4" w:space="0"/>
              <w:right w:val="single" w:color="auto" w:sz="4" w:space="0"/>
            </w:tcBorders>
            <w:vAlign w:val="center"/>
          </w:tcPr>
          <w:p>
            <w:pPr>
              <w:shd w:val="clear" w:color="auto" w:fill="FFFFFF"/>
              <w:spacing w:line="300" w:lineRule="auto"/>
              <w:ind w:firstLine="424" w:firstLineChars="202"/>
              <w:jc w:val="center"/>
              <w:rPr>
                <w:color w:val="auto"/>
                <w:highlight w:val="none"/>
              </w:rPr>
            </w:pPr>
          </w:p>
        </w:tc>
        <w:tc>
          <w:tcPr>
            <w:tcW w:w="5167" w:type="dxa"/>
            <w:tcBorders>
              <w:top w:val="single" w:color="auto" w:sz="4" w:space="0"/>
              <w:left w:val="single" w:color="auto" w:sz="4" w:space="0"/>
              <w:bottom w:val="single" w:color="auto" w:sz="4" w:space="0"/>
              <w:right w:val="single" w:color="auto" w:sz="4" w:space="0"/>
            </w:tcBorders>
            <w:vAlign w:val="center"/>
          </w:tcPr>
          <w:p>
            <w:pPr>
              <w:shd w:val="clear" w:color="auto" w:fill="FFFFFF"/>
              <w:spacing w:line="300" w:lineRule="auto"/>
              <w:jc w:val="center"/>
              <w:rPr>
                <w:rFonts w:hint="eastAsia" w:eastAsia="宋体"/>
                <w:color w:val="auto"/>
                <w:highlight w:val="none"/>
                <w:lang w:val="en-US" w:eastAsia="zh-CN"/>
              </w:rPr>
            </w:pPr>
            <w:r>
              <w:rPr>
                <w:rFonts w:hint="eastAsia"/>
                <w:color w:val="auto"/>
                <w:highlight w:val="none"/>
                <w:lang w:val="en-US" w:eastAsia="zh-CN"/>
              </w:rPr>
              <w:t>客梯</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2" w:hRule="exact"/>
          <w:jc w:val="center"/>
        </w:trPr>
        <w:tc>
          <w:tcPr>
            <w:tcW w:w="3053" w:type="dxa"/>
            <w:tcBorders>
              <w:top w:val="single" w:color="auto" w:sz="4" w:space="0"/>
              <w:left w:val="single" w:color="auto" w:sz="4" w:space="0"/>
              <w:bottom w:val="single" w:color="auto" w:sz="4" w:space="0"/>
              <w:right w:val="single" w:color="auto" w:sz="4" w:space="0"/>
            </w:tcBorders>
            <w:vAlign w:val="top"/>
          </w:tcPr>
          <w:p>
            <w:pPr>
              <w:shd w:val="clear" w:color="auto" w:fill="FFFFFF"/>
              <w:spacing w:line="300" w:lineRule="auto"/>
              <w:jc w:val="center"/>
              <w:rPr>
                <w:color w:val="auto"/>
                <w:highlight w:val="none"/>
              </w:rPr>
            </w:pPr>
            <w:r>
              <w:rPr>
                <w:rFonts w:hint="eastAsia"/>
                <w:color w:val="auto"/>
                <w:highlight w:val="none"/>
              </w:rPr>
              <w:t>数量（部）</w:t>
            </w:r>
          </w:p>
        </w:tc>
        <w:tc>
          <w:tcPr>
            <w:tcW w:w="5167" w:type="dxa"/>
            <w:tcBorders>
              <w:top w:val="single" w:color="auto" w:sz="4" w:space="0"/>
              <w:left w:val="single" w:color="auto" w:sz="4" w:space="0"/>
              <w:bottom w:val="single" w:color="auto" w:sz="4" w:space="0"/>
              <w:right w:val="single" w:color="auto" w:sz="4" w:space="0"/>
            </w:tcBorders>
            <w:vAlign w:val="top"/>
          </w:tcPr>
          <w:p>
            <w:pPr>
              <w:shd w:val="clear" w:color="auto" w:fill="FFFFFF"/>
              <w:spacing w:line="300" w:lineRule="auto"/>
              <w:jc w:val="center"/>
              <w:rPr>
                <w:color w:val="auto"/>
                <w:highlight w:val="none"/>
              </w:rPr>
            </w:pPr>
            <w:r>
              <w:rPr>
                <w:rFonts w:hint="eastAsia"/>
                <w:color w:val="auto"/>
                <w:highlight w:val="none"/>
              </w:rPr>
              <w:t>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0" w:hRule="exact"/>
          <w:jc w:val="center"/>
        </w:trPr>
        <w:tc>
          <w:tcPr>
            <w:tcW w:w="3053" w:type="dxa"/>
            <w:tcBorders>
              <w:top w:val="single" w:color="auto" w:sz="4" w:space="0"/>
              <w:left w:val="single" w:color="auto" w:sz="4" w:space="0"/>
              <w:bottom w:val="single" w:color="auto" w:sz="4" w:space="0"/>
              <w:right w:val="single" w:color="auto" w:sz="4" w:space="0"/>
            </w:tcBorders>
            <w:vAlign w:val="top"/>
          </w:tcPr>
          <w:p>
            <w:pPr>
              <w:shd w:val="clear" w:color="auto" w:fill="FFFFFF"/>
              <w:spacing w:line="300" w:lineRule="auto"/>
              <w:jc w:val="center"/>
              <w:rPr>
                <w:color w:val="auto"/>
                <w:highlight w:val="none"/>
              </w:rPr>
            </w:pPr>
            <w:r>
              <w:rPr>
                <w:rFonts w:hint="eastAsia"/>
                <w:color w:val="auto"/>
                <w:highlight w:val="none"/>
              </w:rPr>
              <w:t>载重量（kg）</w:t>
            </w:r>
          </w:p>
        </w:tc>
        <w:tc>
          <w:tcPr>
            <w:tcW w:w="5167" w:type="dxa"/>
            <w:tcBorders>
              <w:top w:val="single" w:color="auto" w:sz="4" w:space="0"/>
              <w:left w:val="single" w:color="auto" w:sz="4" w:space="0"/>
              <w:bottom w:val="single" w:color="auto" w:sz="4" w:space="0"/>
              <w:right w:val="single" w:color="auto" w:sz="4" w:space="0"/>
            </w:tcBorders>
            <w:vAlign w:val="top"/>
          </w:tcPr>
          <w:p>
            <w:pPr>
              <w:shd w:val="clear" w:color="auto" w:fill="FFFFFF"/>
              <w:spacing w:line="300" w:lineRule="auto"/>
              <w:jc w:val="center"/>
              <w:rPr>
                <w:color w:val="auto"/>
                <w:highlight w:val="none"/>
              </w:rPr>
            </w:pPr>
            <w:r>
              <w:rPr>
                <w:rFonts w:hint="eastAsia"/>
                <w:color w:val="auto"/>
                <w:highlight w:val="none"/>
              </w:rPr>
              <w:t>1000kg</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0" w:hRule="exact"/>
          <w:jc w:val="center"/>
        </w:trPr>
        <w:tc>
          <w:tcPr>
            <w:tcW w:w="3053" w:type="dxa"/>
            <w:tcBorders>
              <w:top w:val="single" w:color="auto" w:sz="4" w:space="0"/>
              <w:left w:val="single" w:color="auto" w:sz="4" w:space="0"/>
              <w:bottom w:val="single" w:color="auto" w:sz="4" w:space="0"/>
              <w:right w:val="single" w:color="auto" w:sz="4" w:space="0"/>
            </w:tcBorders>
            <w:vAlign w:val="top"/>
          </w:tcPr>
          <w:p>
            <w:pPr>
              <w:shd w:val="clear" w:color="auto" w:fill="FFFFFF"/>
              <w:spacing w:line="300" w:lineRule="auto"/>
              <w:jc w:val="center"/>
              <w:rPr>
                <w:color w:val="auto"/>
                <w:highlight w:val="none"/>
              </w:rPr>
            </w:pPr>
            <w:r>
              <w:rPr>
                <w:rFonts w:hint="eastAsia"/>
                <w:color w:val="auto"/>
                <w:highlight w:val="none"/>
              </w:rPr>
              <w:t>速度m/s</w:t>
            </w:r>
          </w:p>
        </w:tc>
        <w:tc>
          <w:tcPr>
            <w:tcW w:w="5167" w:type="dxa"/>
            <w:tcBorders>
              <w:top w:val="single" w:color="auto" w:sz="4" w:space="0"/>
              <w:left w:val="single" w:color="auto" w:sz="4" w:space="0"/>
              <w:bottom w:val="single" w:color="auto" w:sz="4" w:space="0"/>
              <w:right w:val="single" w:color="auto" w:sz="4" w:space="0"/>
            </w:tcBorders>
            <w:vAlign w:val="top"/>
          </w:tcPr>
          <w:p>
            <w:pPr>
              <w:shd w:val="clear" w:color="auto" w:fill="FFFFFF"/>
              <w:spacing w:line="300" w:lineRule="auto"/>
              <w:jc w:val="center"/>
              <w:rPr>
                <w:color w:val="auto"/>
                <w:highlight w:val="none"/>
              </w:rPr>
            </w:pPr>
            <w:r>
              <w:rPr>
                <w:rFonts w:hint="eastAsia"/>
                <w:color w:val="auto"/>
                <w:highlight w:val="none"/>
              </w:rPr>
              <w:t>1.5m/s</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0" w:hRule="exact"/>
          <w:jc w:val="center"/>
        </w:trPr>
        <w:tc>
          <w:tcPr>
            <w:tcW w:w="3053" w:type="dxa"/>
            <w:tcBorders>
              <w:top w:val="single" w:color="auto" w:sz="4" w:space="0"/>
              <w:left w:val="single" w:color="auto" w:sz="4" w:space="0"/>
              <w:bottom w:val="single" w:color="auto" w:sz="4" w:space="0"/>
              <w:right w:val="single" w:color="auto" w:sz="4" w:space="0"/>
            </w:tcBorders>
            <w:vAlign w:val="top"/>
          </w:tcPr>
          <w:p>
            <w:pPr>
              <w:shd w:val="clear" w:color="auto" w:fill="FFFFFF"/>
              <w:spacing w:line="300" w:lineRule="auto"/>
              <w:jc w:val="center"/>
              <w:rPr>
                <w:color w:val="auto"/>
                <w:highlight w:val="none"/>
              </w:rPr>
            </w:pPr>
            <w:r>
              <w:rPr>
                <w:rFonts w:hint="eastAsia"/>
                <w:color w:val="auto"/>
                <w:highlight w:val="none"/>
              </w:rPr>
              <w:t>层/站/门</w:t>
            </w:r>
          </w:p>
        </w:tc>
        <w:tc>
          <w:tcPr>
            <w:tcW w:w="5167" w:type="dxa"/>
            <w:tcBorders>
              <w:top w:val="single" w:color="auto" w:sz="4" w:space="0"/>
              <w:left w:val="single" w:color="auto" w:sz="4" w:space="0"/>
              <w:bottom w:val="single" w:color="auto" w:sz="4" w:space="0"/>
              <w:right w:val="single" w:color="auto" w:sz="4" w:space="0"/>
            </w:tcBorders>
            <w:vAlign w:val="top"/>
          </w:tcPr>
          <w:p>
            <w:pPr>
              <w:shd w:val="clear" w:color="auto" w:fill="FFFFFF"/>
              <w:spacing w:line="300" w:lineRule="auto"/>
              <w:jc w:val="center"/>
              <w:rPr>
                <w:color w:val="auto"/>
                <w:highlight w:val="none"/>
              </w:rPr>
            </w:pPr>
            <w:r>
              <w:rPr>
                <w:rFonts w:hint="eastAsia"/>
                <w:color w:val="auto"/>
                <w:highlight w:val="none"/>
              </w:rPr>
              <w:t>1~6（6/6/6）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5" w:hRule="exact"/>
          <w:jc w:val="center"/>
        </w:trPr>
        <w:tc>
          <w:tcPr>
            <w:tcW w:w="3053" w:type="dxa"/>
            <w:tcBorders>
              <w:top w:val="single" w:color="auto" w:sz="4" w:space="0"/>
              <w:left w:val="single" w:color="auto" w:sz="4" w:space="0"/>
              <w:bottom w:val="single" w:color="auto" w:sz="4" w:space="0"/>
              <w:right w:val="single" w:color="auto" w:sz="4" w:space="0"/>
            </w:tcBorders>
            <w:vAlign w:val="top"/>
          </w:tcPr>
          <w:p>
            <w:pPr>
              <w:shd w:val="clear" w:color="auto" w:fill="FFFFFF"/>
              <w:spacing w:line="300" w:lineRule="auto"/>
              <w:jc w:val="center"/>
              <w:rPr>
                <w:color w:val="auto"/>
                <w:highlight w:val="none"/>
              </w:rPr>
            </w:pPr>
            <w:r>
              <w:rPr>
                <w:rFonts w:hint="eastAsia"/>
                <w:color w:val="auto"/>
                <w:highlight w:val="none"/>
              </w:rPr>
              <w:t>层高</w:t>
            </w:r>
          </w:p>
        </w:tc>
        <w:tc>
          <w:tcPr>
            <w:tcW w:w="5167" w:type="dxa"/>
            <w:tcBorders>
              <w:top w:val="single" w:color="auto" w:sz="4" w:space="0"/>
              <w:left w:val="single" w:color="auto" w:sz="4" w:space="0"/>
              <w:bottom w:val="single" w:color="auto" w:sz="4" w:space="0"/>
              <w:right w:val="single" w:color="auto" w:sz="4" w:space="0"/>
            </w:tcBorders>
            <w:vAlign w:val="top"/>
          </w:tcPr>
          <w:p>
            <w:pPr>
              <w:shd w:val="clear" w:color="auto" w:fill="FFFFFF"/>
              <w:spacing w:line="300" w:lineRule="auto"/>
              <w:jc w:val="center"/>
              <w:rPr>
                <w:color w:val="auto"/>
                <w:highlight w:val="none"/>
              </w:rPr>
            </w:pPr>
            <w:r>
              <w:rPr>
                <w:rFonts w:hint="eastAsia"/>
                <w:color w:val="auto"/>
                <w:highlight w:val="none"/>
              </w:rPr>
              <w:t>1F：4200；2F-6F：3800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5" w:hRule="exact"/>
          <w:jc w:val="center"/>
        </w:trPr>
        <w:tc>
          <w:tcPr>
            <w:tcW w:w="3053" w:type="dxa"/>
            <w:tcBorders>
              <w:top w:val="single" w:color="auto" w:sz="4" w:space="0"/>
              <w:left w:val="single" w:color="auto" w:sz="4" w:space="0"/>
              <w:bottom w:val="single" w:color="auto" w:sz="4" w:space="0"/>
              <w:right w:val="single" w:color="auto" w:sz="4" w:space="0"/>
            </w:tcBorders>
            <w:vAlign w:val="top"/>
          </w:tcPr>
          <w:p>
            <w:pPr>
              <w:shd w:val="clear" w:color="auto" w:fill="FFFFFF"/>
              <w:spacing w:line="300" w:lineRule="auto"/>
              <w:jc w:val="center"/>
              <w:rPr>
                <w:rFonts w:hint="eastAsia"/>
                <w:color w:val="auto"/>
                <w:highlight w:val="none"/>
              </w:rPr>
            </w:pPr>
            <w:r>
              <w:rPr>
                <w:rFonts w:hint="eastAsia"/>
              </w:rPr>
              <w:t>井道尺寸（mm）</w:t>
            </w:r>
          </w:p>
        </w:tc>
        <w:tc>
          <w:tcPr>
            <w:tcW w:w="5167" w:type="dxa"/>
            <w:tcBorders>
              <w:top w:val="single" w:color="auto" w:sz="4" w:space="0"/>
              <w:left w:val="single" w:color="auto" w:sz="4" w:space="0"/>
              <w:bottom w:val="single" w:color="auto" w:sz="4" w:space="0"/>
              <w:right w:val="single" w:color="auto" w:sz="4" w:space="0"/>
            </w:tcBorders>
            <w:vAlign w:val="top"/>
          </w:tcPr>
          <w:p>
            <w:pPr>
              <w:shd w:val="clear" w:color="auto" w:fill="FFFFFF"/>
              <w:spacing w:line="300" w:lineRule="auto"/>
              <w:jc w:val="center"/>
              <w:rPr>
                <w:rFonts w:hint="eastAsia"/>
                <w:color w:val="auto"/>
                <w:highlight w:val="none"/>
              </w:rPr>
            </w:pPr>
            <w:r>
              <w:rPr>
                <w:rFonts w:hint="eastAsia"/>
                <w:color w:val="auto"/>
                <w:highlight w:val="none"/>
              </w:rPr>
              <w:t>2200(宽)*2500（深）</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5" w:hRule="exact"/>
          <w:jc w:val="center"/>
        </w:trPr>
        <w:tc>
          <w:tcPr>
            <w:tcW w:w="3053" w:type="dxa"/>
            <w:tcBorders>
              <w:top w:val="single" w:color="auto" w:sz="4" w:space="0"/>
              <w:left w:val="single" w:color="auto" w:sz="4" w:space="0"/>
              <w:bottom w:val="single" w:color="auto" w:sz="4" w:space="0"/>
              <w:right w:val="single" w:color="auto" w:sz="4" w:space="0"/>
            </w:tcBorders>
            <w:vAlign w:val="top"/>
          </w:tcPr>
          <w:p>
            <w:pPr>
              <w:shd w:val="clear" w:color="auto" w:fill="FFFFFF"/>
              <w:spacing w:line="300" w:lineRule="auto"/>
              <w:jc w:val="center"/>
              <w:rPr>
                <w:rFonts w:hint="eastAsia"/>
                <w:color w:val="auto"/>
                <w:highlight w:val="none"/>
              </w:rPr>
            </w:pPr>
            <w:r>
              <w:rPr>
                <w:rFonts w:hint="eastAsia"/>
                <w:color w:val="auto"/>
                <w:highlight w:val="none"/>
              </w:rPr>
              <w:t>门洞尺寸（mm）</w:t>
            </w:r>
          </w:p>
        </w:tc>
        <w:tc>
          <w:tcPr>
            <w:tcW w:w="5167" w:type="dxa"/>
            <w:tcBorders>
              <w:top w:val="single" w:color="auto" w:sz="4" w:space="0"/>
              <w:left w:val="single" w:color="auto" w:sz="4" w:space="0"/>
              <w:bottom w:val="single" w:color="auto" w:sz="4" w:space="0"/>
              <w:right w:val="single" w:color="auto" w:sz="4" w:space="0"/>
            </w:tcBorders>
            <w:vAlign w:val="top"/>
          </w:tcPr>
          <w:p>
            <w:pPr>
              <w:shd w:val="clear" w:color="auto" w:fill="FFFFFF"/>
              <w:spacing w:line="300" w:lineRule="auto"/>
              <w:jc w:val="center"/>
              <w:rPr>
                <w:rFonts w:hint="eastAsia"/>
                <w:color w:val="auto"/>
                <w:highlight w:val="none"/>
              </w:rPr>
            </w:pPr>
            <w:r>
              <w:rPr>
                <w:rFonts w:hint="eastAsia"/>
                <w:color w:val="auto"/>
                <w:highlight w:val="none"/>
              </w:rPr>
              <w:t>1100*2200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5" w:hRule="exact"/>
          <w:jc w:val="center"/>
        </w:trPr>
        <w:tc>
          <w:tcPr>
            <w:tcW w:w="3053" w:type="dxa"/>
            <w:tcBorders>
              <w:top w:val="single" w:color="auto" w:sz="4" w:space="0"/>
              <w:left w:val="single" w:color="auto" w:sz="4" w:space="0"/>
              <w:bottom w:val="single" w:color="auto" w:sz="4" w:space="0"/>
              <w:right w:val="single" w:color="auto" w:sz="4" w:space="0"/>
            </w:tcBorders>
            <w:vAlign w:val="top"/>
          </w:tcPr>
          <w:p>
            <w:pPr>
              <w:shd w:val="clear" w:color="auto" w:fill="FFFFFF"/>
              <w:spacing w:line="300" w:lineRule="auto"/>
              <w:jc w:val="center"/>
              <w:rPr>
                <w:rFonts w:hint="eastAsia"/>
                <w:color w:val="auto"/>
                <w:highlight w:val="none"/>
              </w:rPr>
            </w:pPr>
            <w:r>
              <w:rPr>
                <w:rFonts w:hint="eastAsia"/>
                <w:color w:val="auto"/>
                <w:highlight w:val="none"/>
              </w:rPr>
              <w:t>厅门尺寸（mm）</w:t>
            </w:r>
          </w:p>
        </w:tc>
        <w:tc>
          <w:tcPr>
            <w:tcW w:w="5167" w:type="dxa"/>
            <w:tcBorders>
              <w:top w:val="single" w:color="auto" w:sz="4" w:space="0"/>
              <w:left w:val="single" w:color="auto" w:sz="4" w:space="0"/>
              <w:bottom w:val="single" w:color="auto" w:sz="4" w:space="0"/>
              <w:right w:val="single" w:color="auto" w:sz="4" w:space="0"/>
            </w:tcBorders>
            <w:vAlign w:val="top"/>
          </w:tcPr>
          <w:p>
            <w:pPr>
              <w:shd w:val="clear" w:color="auto" w:fill="FFFFFF"/>
              <w:spacing w:line="300" w:lineRule="auto"/>
              <w:jc w:val="center"/>
              <w:rPr>
                <w:rFonts w:hint="eastAsia"/>
                <w:color w:val="auto"/>
                <w:highlight w:val="none"/>
              </w:rPr>
            </w:pPr>
            <w:r>
              <w:rPr>
                <w:rFonts w:hint="eastAsia"/>
                <w:color w:val="auto"/>
                <w:highlight w:val="none"/>
              </w:rPr>
              <w:t>900*2100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5" w:hRule="exact"/>
          <w:jc w:val="center"/>
        </w:trPr>
        <w:tc>
          <w:tcPr>
            <w:tcW w:w="3053" w:type="dxa"/>
            <w:tcBorders>
              <w:top w:val="single" w:color="auto" w:sz="4" w:space="0"/>
              <w:left w:val="single" w:color="auto" w:sz="4" w:space="0"/>
              <w:bottom w:val="single" w:color="auto" w:sz="4" w:space="0"/>
              <w:right w:val="single" w:color="auto" w:sz="4" w:space="0"/>
            </w:tcBorders>
            <w:vAlign w:val="top"/>
          </w:tcPr>
          <w:p>
            <w:pPr>
              <w:shd w:val="clear" w:color="auto" w:fill="FFFFFF"/>
              <w:spacing w:line="300" w:lineRule="auto"/>
              <w:jc w:val="center"/>
              <w:rPr>
                <w:rFonts w:hint="eastAsia"/>
                <w:color w:val="auto"/>
                <w:highlight w:val="none"/>
              </w:rPr>
            </w:pPr>
            <w:r>
              <w:rPr>
                <w:rFonts w:hint="eastAsia"/>
                <w:color w:val="auto"/>
                <w:highlight w:val="none"/>
              </w:rPr>
              <w:t>地坑深度（mm）</w:t>
            </w:r>
          </w:p>
        </w:tc>
        <w:tc>
          <w:tcPr>
            <w:tcW w:w="5167" w:type="dxa"/>
            <w:tcBorders>
              <w:top w:val="single" w:color="auto" w:sz="4" w:space="0"/>
              <w:left w:val="single" w:color="auto" w:sz="4" w:space="0"/>
              <w:bottom w:val="single" w:color="auto" w:sz="4" w:space="0"/>
              <w:right w:val="single" w:color="auto" w:sz="4" w:space="0"/>
            </w:tcBorders>
            <w:vAlign w:val="top"/>
          </w:tcPr>
          <w:p>
            <w:pPr>
              <w:shd w:val="clear" w:color="auto" w:fill="FFFFFF"/>
              <w:spacing w:line="300" w:lineRule="auto"/>
              <w:jc w:val="center"/>
              <w:rPr>
                <w:rFonts w:hint="eastAsia"/>
                <w:color w:val="auto"/>
                <w:highlight w:val="none"/>
              </w:rPr>
            </w:pPr>
            <w:r>
              <w:rPr>
                <w:rFonts w:hint="eastAsia"/>
                <w:color w:val="auto"/>
                <w:highlight w:val="none"/>
              </w:rPr>
              <w:t>1800</w:t>
            </w:r>
          </w:p>
        </w:tc>
      </w:tr>
    </w:tbl>
    <w:p>
      <w:pPr>
        <w:shd w:val="clear" w:color="auto" w:fill="FFFFFF"/>
        <w:spacing w:line="300" w:lineRule="auto"/>
        <w:ind w:left="210" w:leftChars="100" w:firstLine="210" w:firstLineChars="100"/>
        <w:rPr>
          <w:color w:val="auto"/>
          <w:highlight w:val="none"/>
        </w:rPr>
      </w:pPr>
      <w:r>
        <w:rPr>
          <w:color w:val="auto"/>
          <w:highlight w:val="none"/>
        </w:rPr>
        <w:t>2</w:t>
      </w:r>
      <w:r>
        <w:rPr>
          <w:rFonts w:hint="eastAsia"/>
          <w:color w:val="auto"/>
          <w:highlight w:val="none"/>
        </w:rPr>
        <w:t>.4计划工期（含交货期和安装工期）：自合同签订之日起</w:t>
      </w:r>
      <w:r>
        <w:rPr>
          <w:rFonts w:hint="eastAsia"/>
          <w:color w:val="auto"/>
          <w:highlight w:val="none"/>
          <w:lang w:val="en-US" w:eastAsia="zh-CN"/>
        </w:rPr>
        <w:t>150</w:t>
      </w:r>
      <w:r>
        <w:rPr>
          <w:rFonts w:hint="eastAsia"/>
          <w:color w:val="auto"/>
          <w:highlight w:val="none"/>
        </w:rPr>
        <w:t>日历天完成。其中交货期</w:t>
      </w:r>
      <w:r>
        <w:rPr>
          <w:rFonts w:hint="eastAsia"/>
          <w:color w:val="auto"/>
          <w:highlight w:val="none"/>
          <w:lang w:val="en-US" w:eastAsia="zh-CN"/>
        </w:rPr>
        <w:t xml:space="preserve"> 90</w:t>
      </w:r>
      <w:r>
        <w:rPr>
          <w:rFonts w:hint="eastAsia"/>
          <w:color w:val="auto"/>
          <w:highlight w:val="none"/>
        </w:rPr>
        <w:t>天，安装工期</w:t>
      </w:r>
      <w:r>
        <w:rPr>
          <w:rFonts w:hint="eastAsia"/>
          <w:color w:val="auto"/>
          <w:highlight w:val="none"/>
          <w:lang w:val="en-US" w:eastAsia="zh-CN"/>
        </w:rPr>
        <w:t>60</w:t>
      </w:r>
      <w:r>
        <w:rPr>
          <w:rFonts w:hint="eastAsia"/>
          <w:color w:val="auto"/>
          <w:highlight w:val="none"/>
        </w:rPr>
        <w:t>日历天。</w:t>
      </w:r>
    </w:p>
    <w:p>
      <w:pPr>
        <w:shd w:val="clear" w:color="auto" w:fill="FFFFFF"/>
        <w:spacing w:line="300" w:lineRule="auto"/>
        <w:ind w:firstLine="424" w:firstLineChars="202"/>
        <w:rPr>
          <w:color w:val="auto"/>
          <w:highlight w:val="none"/>
        </w:rPr>
      </w:pPr>
      <w:r>
        <w:rPr>
          <w:rFonts w:hint="eastAsia"/>
          <w:color w:val="auto"/>
          <w:highlight w:val="none"/>
        </w:rPr>
        <w:t>2.5质量要求：达到国家特种设备制造与安装最新版本技术标准和规范要求，且安装后经当地国家有关主管部门一次性验收合格，并获得技术监督部门颁发的电梯准运证。</w:t>
      </w:r>
    </w:p>
    <w:p>
      <w:pPr>
        <w:shd w:val="clear" w:color="auto" w:fill="FFFFFF"/>
        <w:spacing w:line="300" w:lineRule="auto"/>
        <w:ind w:firstLine="424" w:firstLineChars="202"/>
        <w:rPr>
          <w:color w:val="auto"/>
          <w:highlight w:val="none"/>
        </w:rPr>
      </w:pPr>
      <w:r>
        <w:rPr>
          <w:rFonts w:hint="eastAsia"/>
          <w:color w:val="auto"/>
          <w:highlight w:val="none"/>
        </w:rPr>
        <w:t>2.6质量保证期：自竣工验收合格</w:t>
      </w:r>
      <w:r>
        <w:rPr>
          <w:color w:val="auto"/>
          <w:highlight w:val="none"/>
        </w:rPr>
        <w:t>并交付</w:t>
      </w:r>
      <w:r>
        <w:rPr>
          <w:rFonts w:hint="eastAsia"/>
          <w:color w:val="auto"/>
          <w:highlight w:val="none"/>
        </w:rPr>
        <w:t>招标人</w:t>
      </w:r>
      <w:r>
        <w:rPr>
          <w:color w:val="auto"/>
          <w:highlight w:val="none"/>
        </w:rPr>
        <w:t>使用之日起24个月</w:t>
      </w:r>
      <w:r>
        <w:rPr>
          <w:rFonts w:hint="eastAsia"/>
          <w:color w:val="auto"/>
          <w:highlight w:val="none"/>
        </w:rPr>
        <w:t>。</w:t>
      </w:r>
    </w:p>
    <w:p>
      <w:pPr>
        <w:shd w:val="clear" w:color="auto" w:fill="FFFFFF"/>
        <w:spacing w:line="300" w:lineRule="auto"/>
        <w:ind w:firstLine="424" w:firstLineChars="202"/>
        <w:rPr>
          <w:color w:val="auto"/>
          <w:highlight w:val="none"/>
        </w:rPr>
      </w:pPr>
      <w:r>
        <w:rPr>
          <w:rFonts w:hint="eastAsia"/>
          <w:color w:val="auto"/>
          <w:highlight w:val="none"/>
        </w:rPr>
        <w:t>2.7交货和安装地点：招标人指定地点。</w:t>
      </w:r>
    </w:p>
    <w:p>
      <w:pPr>
        <w:shd w:val="clear" w:color="auto" w:fill="FFFFFF"/>
        <w:spacing w:line="300" w:lineRule="auto"/>
        <w:ind w:firstLine="424" w:firstLineChars="202"/>
        <w:rPr>
          <w:color w:val="auto"/>
          <w:highlight w:val="none"/>
        </w:rPr>
      </w:pPr>
      <w:r>
        <w:rPr>
          <w:color w:val="auto"/>
          <w:highlight w:val="none"/>
        </w:rPr>
        <w:t>2.</w:t>
      </w:r>
      <w:r>
        <w:rPr>
          <w:rFonts w:hint="eastAsia"/>
          <w:color w:val="auto"/>
          <w:highlight w:val="none"/>
        </w:rPr>
        <w:t>8</w:t>
      </w:r>
      <w:r>
        <w:rPr>
          <w:color w:val="auto"/>
          <w:highlight w:val="none"/>
        </w:rPr>
        <w:t>标段划分：</w:t>
      </w:r>
      <w:r>
        <w:rPr>
          <w:rFonts w:hint="eastAsia"/>
          <w:color w:val="auto"/>
          <w:highlight w:val="none"/>
        </w:rPr>
        <w:t>1</w:t>
      </w:r>
      <w:r>
        <w:rPr>
          <w:color w:val="auto"/>
          <w:highlight w:val="none"/>
        </w:rPr>
        <w:t>个标段</w:t>
      </w:r>
      <w:r>
        <w:rPr>
          <w:rFonts w:hint="eastAsia"/>
          <w:color w:val="auto"/>
          <w:highlight w:val="none"/>
        </w:rPr>
        <w:t>。</w:t>
      </w:r>
    </w:p>
    <w:p>
      <w:pPr>
        <w:pStyle w:val="9"/>
        <w:shd w:val="clear" w:color="auto" w:fill="FFFFFF"/>
        <w:spacing w:line="300" w:lineRule="auto"/>
        <w:outlineLvl w:val="0"/>
        <w:rPr>
          <w:rFonts w:ascii="Cambria" w:hAnsi="宋体" w:eastAsia="宋体"/>
          <w:b/>
          <w:bCs/>
          <w:color w:val="auto"/>
          <w:szCs w:val="32"/>
          <w:highlight w:val="none"/>
        </w:rPr>
      </w:pPr>
      <w:bookmarkStart w:id="25" w:name="_Toc18479"/>
      <w:bookmarkStart w:id="26" w:name="_Toc496048474"/>
      <w:bookmarkStart w:id="27" w:name="_Toc509584163"/>
      <w:bookmarkStart w:id="28" w:name="_Toc8879"/>
      <w:bookmarkStart w:id="29" w:name="_Toc6511"/>
      <w:r>
        <w:rPr>
          <w:rFonts w:hint="eastAsia" w:ascii="Cambria" w:hAnsi="宋体" w:eastAsia="宋体"/>
          <w:b/>
          <w:bCs/>
          <w:color w:val="auto"/>
          <w:szCs w:val="32"/>
          <w:highlight w:val="none"/>
        </w:rPr>
        <w:t>3.投标人资格要求</w:t>
      </w:r>
      <w:bookmarkEnd w:id="20"/>
      <w:bookmarkEnd w:id="21"/>
      <w:bookmarkEnd w:id="22"/>
      <w:bookmarkEnd w:id="23"/>
      <w:bookmarkEnd w:id="24"/>
      <w:bookmarkEnd w:id="25"/>
      <w:bookmarkEnd w:id="26"/>
      <w:bookmarkEnd w:id="27"/>
      <w:bookmarkEnd w:id="28"/>
      <w:bookmarkEnd w:id="29"/>
    </w:p>
    <w:p>
      <w:pPr>
        <w:shd w:val="clear" w:color="auto" w:fill="FFFFFF"/>
        <w:spacing w:line="300" w:lineRule="auto"/>
        <w:ind w:firstLine="437"/>
        <w:rPr>
          <w:color w:val="auto"/>
          <w:highlight w:val="none"/>
        </w:rPr>
      </w:pPr>
      <w:r>
        <w:rPr>
          <w:color w:val="auto"/>
          <w:highlight w:val="none"/>
        </w:rPr>
        <w:t>3.1</w:t>
      </w:r>
      <w:r>
        <w:rPr>
          <w:rFonts w:hint="eastAsia"/>
          <w:color w:val="auto"/>
          <w:highlight w:val="none"/>
        </w:rPr>
        <w:t>营业执照：</w:t>
      </w:r>
      <w:r>
        <w:rPr>
          <w:rFonts w:hint="eastAsia" w:hAnsi="宋体"/>
          <w:color w:val="auto"/>
          <w:highlight w:val="none"/>
        </w:rPr>
        <w:t>投标人须是在中华人民共和国境内注册的企业法人，持有有效的企业法人营业执照</w:t>
      </w:r>
      <w:r>
        <w:rPr>
          <w:rFonts w:hint="eastAsia"/>
          <w:color w:val="auto"/>
          <w:highlight w:val="none"/>
        </w:rPr>
        <w:t>。</w:t>
      </w:r>
    </w:p>
    <w:p>
      <w:pPr>
        <w:shd w:val="clear" w:color="auto" w:fill="FFFFFF"/>
        <w:spacing w:line="300" w:lineRule="auto"/>
        <w:ind w:firstLine="437"/>
        <w:rPr>
          <w:color w:val="auto"/>
          <w:highlight w:val="none"/>
        </w:rPr>
      </w:pPr>
      <w:r>
        <w:rPr>
          <w:color w:val="auto"/>
          <w:highlight w:val="none"/>
        </w:rPr>
        <w:t>3.</w:t>
      </w:r>
      <w:r>
        <w:rPr>
          <w:rFonts w:hint="eastAsia"/>
          <w:color w:val="auto"/>
          <w:highlight w:val="none"/>
        </w:rPr>
        <w:t>2资质要求：</w:t>
      </w:r>
      <w:r>
        <w:rPr>
          <w:color w:val="auto"/>
          <w:highlight w:val="none"/>
        </w:rPr>
        <w:t>投标人</w:t>
      </w:r>
      <w:r>
        <w:rPr>
          <w:rFonts w:hint="eastAsia"/>
          <w:color w:val="auto"/>
          <w:highlight w:val="none"/>
        </w:rPr>
        <w:t>须具备</w:t>
      </w:r>
      <w:r>
        <w:rPr>
          <w:color w:val="auto"/>
          <w:highlight w:val="none"/>
        </w:rPr>
        <w:t>下列</w:t>
      </w:r>
      <w:r>
        <w:rPr>
          <w:rFonts w:hint="eastAsia"/>
          <w:color w:val="auto"/>
          <w:highlight w:val="none"/>
        </w:rPr>
        <w:t>有效</w:t>
      </w:r>
      <w:r>
        <w:rPr>
          <w:color w:val="auto"/>
          <w:highlight w:val="none"/>
        </w:rPr>
        <w:t>资质条件之一</w:t>
      </w:r>
      <w:r>
        <w:rPr>
          <w:rFonts w:hint="eastAsia"/>
          <w:color w:val="auto"/>
          <w:highlight w:val="none"/>
        </w:rPr>
        <w:t>：</w:t>
      </w:r>
    </w:p>
    <w:p>
      <w:pPr>
        <w:shd w:val="clear" w:color="auto" w:fill="FFFFFF"/>
        <w:spacing w:line="300" w:lineRule="auto"/>
        <w:ind w:firstLine="437"/>
        <w:rPr>
          <w:color w:val="auto"/>
          <w:highlight w:val="none"/>
        </w:rPr>
      </w:pPr>
      <w:r>
        <w:rPr>
          <w:rFonts w:hint="eastAsia"/>
          <w:color w:val="auto"/>
          <w:highlight w:val="none"/>
        </w:rPr>
        <w:t xml:space="preserve">   3.2.1电梯生产企业需同时满足以下要求：</w:t>
      </w:r>
    </w:p>
    <w:p>
      <w:pPr>
        <w:shd w:val="clear" w:color="auto" w:fill="FFFFFF"/>
        <w:spacing w:line="300" w:lineRule="auto"/>
        <w:ind w:firstLine="437"/>
        <w:rPr>
          <w:color w:val="auto"/>
          <w:highlight w:val="none"/>
        </w:rPr>
      </w:pPr>
      <w:r>
        <w:rPr>
          <w:rFonts w:hint="eastAsia"/>
          <w:color w:val="auto"/>
          <w:highlight w:val="none"/>
        </w:rPr>
        <w:t xml:space="preserve">       （1）具有国家质量监督检验检疫总局颁发的有效的《中华人民共和国特种设备制造许可证》，制造许可证明细表中类型须包含：</w:t>
      </w:r>
      <w:r>
        <w:rPr>
          <w:rFonts w:hint="eastAsia"/>
          <w:color w:val="auto"/>
          <w:highlight w:val="none"/>
          <w:lang w:val="en-US" w:eastAsia="zh-CN"/>
        </w:rPr>
        <w:t>B</w:t>
      </w:r>
      <w:r>
        <w:rPr>
          <w:rFonts w:hint="eastAsia"/>
          <w:color w:val="auto"/>
          <w:highlight w:val="none"/>
        </w:rPr>
        <w:t xml:space="preserve">级乘客电梯制造许可证； </w:t>
      </w:r>
    </w:p>
    <w:p>
      <w:pPr>
        <w:shd w:val="clear" w:color="auto" w:fill="FFFFFF"/>
        <w:spacing w:line="300" w:lineRule="auto"/>
        <w:ind w:firstLine="437"/>
        <w:rPr>
          <w:color w:val="auto"/>
          <w:highlight w:val="none"/>
        </w:rPr>
      </w:pPr>
      <w:r>
        <w:rPr>
          <w:rFonts w:hint="eastAsia"/>
          <w:color w:val="auto"/>
          <w:highlight w:val="none"/>
        </w:rPr>
        <w:t xml:space="preserve">       （2）具有《中华人民共和国特种设备安装改造维修许可证》（电梯）</w:t>
      </w:r>
      <w:r>
        <w:rPr>
          <w:rFonts w:hint="eastAsia"/>
          <w:color w:val="auto"/>
          <w:highlight w:val="none"/>
          <w:lang w:val="en-US" w:eastAsia="zh-CN"/>
        </w:rPr>
        <w:t>B</w:t>
      </w:r>
      <w:r>
        <w:rPr>
          <w:rFonts w:hint="eastAsia"/>
          <w:color w:val="auto"/>
          <w:highlight w:val="none"/>
        </w:rPr>
        <w:t>级或电梯安装工程专业承包</w:t>
      </w:r>
      <w:r>
        <w:rPr>
          <w:rFonts w:hint="eastAsia"/>
          <w:color w:val="auto"/>
          <w:highlight w:val="none"/>
          <w:lang w:val="en-US" w:eastAsia="zh-CN"/>
        </w:rPr>
        <w:t>二</w:t>
      </w:r>
      <w:r>
        <w:rPr>
          <w:rFonts w:hint="eastAsia"/>
          <w:color w:val="auto"/>
          <w:highlight w:val="none"/>
        </w:rPr>
        <w:t>级资质证。</w:t>
      </w:r>
    </w:p>
    <w:p>
      <w:pPr>
        <w:shd w:val="clear" w:color="auto" w:fill="FFFFFF"/>
        <w:spacing w:line="300" w:lineRule="auto"/>
        <w:ind w:firstLine="437"/>
        <w:rPr>
          <w:color w:val="auto"/>
          <w:highlight w:val="none"/>
        </w:rPr>
      </w:pPr>
      <w:r>
        <w:rPr>
          <w:rFonts w:hint="eastAsia"/>
          <w:color w:val="auto"/>
          <w:highlight w:val="none"/>
        </w:rPr>
        <w:t xml:space="preserve">   3.2.2代理商需同时满足下列条件：</w:t>
      </w:r>
    </w:p>
    <w:p>
      <w:pPr>
        <w:shd w:val="clear" w:color="auto" w:fill="FFFFFF"/>
        <w:spacing w:line="300" w:lineRule="auto"/>
        <w:ind w:firstLine="437"/>
        <w:rPr>
          <w:color w:val="auto"/>
          <w:highlight w:val="none"/>
        </w:rPr>
      </w:pPr>
      <w:r>
        <w:rPr>
          <w:rFonts w:hint="eastAsia"/>
          <w:color w:val="auto"/>
          <w:highlight w:val="none"/>
        </w:rPr>
        <w:t xml:space="preserve">       （1）具有省级质量技术监督局或者国家质量监督检验检疫总局颁发的有效的《中华人民共和国特种设备安装改造维修许可证》（电梯）B级及以上级或电梯安装工程专业承包二级及以上资质证。</w:t>
      </w:r>
    </w:p>
    <w:p>
      <w:pPr>
        <w:shd w:val="clear" w:color="auto" w:fill="FFFFFF"/>
        <w:spacing w:line="300" w:lineRule="auto"/>
        <w:ind w:firstLine="437"/>
        <w:rPr>
          <w:color w:val="auto"/>
          <w:highlight w:val="none"/>
        </w:rPr>
      </w:pPr>
      <w:r>
        <w:rPr>
          <w:rFonts w:hint="eastAsia"/>
          <w:color w:val="auto"/>
          <w:highlight w:val="none"/>
        </w:rPr>
        <w:t xml:space="preserve">      （2）投标人是代理商时须取得所投电梯设备制造商（符合本招标公告第3.1款和第3.2（1）目的要求）出具的针对本次招标的唯一授权书，同时所投电梯设备制造商不得同时参加本项目投标，否则相关投标均无效。</w:t>
      </w:r>
    </w:p>
    <w:p>
      <w:pPr>
        <w:shd w:val="clear" w:color="auto" w:fill="FFFFFF"/>
        <w:spacing w:line="300" w:lineRule="auto"/>
        <w:ind w:firstLine="437"/>
        <w:rPr>
          <w:color w:val="auto"/>
          <w:highlight w:val="none"/>
        </w:rPr>
      </w:pPr>
      <w:r>
        <w:rPr>
          <w:rFonts w:hint="eastAsia"/>
          <w:color w:val="auto"/>
          <w:highlight w:val="none"/>
        </w:rPr>
        <w:t>3.3类似项目业绩要求：</w:t>
      </w:r>
    </w:p>
    <w:p>
      <w:pPr>
        <w:shd w:val="clear" w:color="auto" w:fill="FFFFFF"/>
        <w:spacing w:line="300" w:lineRule="auto"/>
        <w:ind w:firstLine="437"/>
        <w:rPr>
          <w:rFonts w:ascii="宋体" w:hAnsi="宋体"/>
          <w:color w:val="auto"/>
          <w:highlight w:val="none"/>
        </w:rPr>
      </w:pPr>
      <w:r>
        <w:rPr>
          <w:rFonts w:hAnsi="宋体"/>
          <w:color w:val="auto"/>
          <w:highlight w:val="none"/>
        </w:rPr>
        <w:t>投标人须</w:t>
      </w:r>
      <w:r>
        <w:rPr>
          <w:rFonts w:hint="eastAsia" w:hAnsi="宋体"/>
          <w:color w:val="auto"/>
          <w:highlight w:val="none"/>
        </w:rPr>
        <w:t>具有</w:t>
      </w:r>
      <w:r>
        <w:rPr>
          <w:rFonts w:hAnsi="宋体"/>
          <w:color w:val="auto"/>
          <w:highlight w:val="none"/>
        </w:rPr>
        <w:t>至少</w:t>
      </w:r>
      <w:r>
        <w:rPr>
          <w:rFonts w:hint="eastAsia" w:hAnsi="宋体"/>
          <w:color w:val="auto"/>
          <w:highlight w:val="none"/>
        </w:rPr>
        <w:t>一项所投电梯品牌的</w:t>
      </w:r>
      <w:r>
        <w:rPr>
          <w:color w:val="auto"/>
          <w:highlight w:val="none"/>
        </w:rPr>
        <w:t>已完成</w:t>
      </w:r>
      <w:r>
        <w:rPr>
          <w:rFonts w:hint="eastAsia"/>
          <w:color w:val="auto"/>
          <w:highlight w:val="none"/>
        </w:rPr>
        <w:t>的</w:t>
      </w:r>
      <w:r>
        <w:rPr>
          <w:color w:val="auto"/>
          <w:highlight w:val="none"/>
        </w:rPr>
        <w:t>类似项目业绩（类似项目</w:t>
      </w:r>
      <w:r>
        <w:rPr>
          <w:rFonts w:hint="eastAsia"/>
          <w:color w:val="auto"/>
          <w:highlight w:val="none"/>
        </w:rPr>
        <w:t>业绩</w:t>
      </w:r>
      <w:r>
        <w:rPr>
          <w:color w:val="auto"/>
          <w:highlight w:val="none"/>
        </w:rPr>
        <w:t>定义：合同签订时间在20</w:t>
      </w:r>
      <w:r>
        <w:rPr>
          <w:rFonts w:hint="eastAsia"/>
          <w:color w:val="auto"/>
          <w:highlight w:val="none"/>
        </w:rPr>
        <w:t>1</w:t>
      </w:r>
      <w:r>
        <w:rPr>
          <w:rFonts w:hint="eastAsia"/>
          <w:color w:val="auto"/>
          <w:highlight w:val="none"/>
          <w:lang w:val="en-US" w:eastAsia="zh-CN"/>
        </w:rPr>
        <w:t>6</w:t>
      </w:r>
      <w:r>
        <w:rPr>
          <w:color w:val="auto"/>
          <w:highlight w:val="none"/>
        </w:rPr>
        <w:t>年</w:t>
      </w:r>
      <w:r>
        <w:rPr>
          <w:rFonts w:hint="eastAsia"/>
          <w:color w:val="auto"/>
          <w:highlight w:val="none"/>
        </w:rPr>
        <w:t>0</w:t>
      </w:r>
      <w:r>
        <w:rPr>
          <w:color w:val="auto"/>
          <w:highlight w:val="none"/>
        </w:rPr>
        <w:t>1月</w:t>
      </w:r>
      <w:r>
        <w:rPr>
          <w:rFonts w:hint="eastAsia"/>
          <w:color w:val="auto"/>
          <w:highlight w:val="none"/>
        </w:rPr>
        <w:t>0</w:t>
      </w:r>
      <w:r>
        <w:rPr>
          <w:color w:val="auto"/>
          <w:highlight w:val="none"/>
        </w:rPr>
        <w:t>1日至投标截止时间内的中华人民共和国境内</w:t>
      </w:r>
      <w:r>
        <w:rPr>
          <w:rFonts w:hint="eastAsia"/>
          <w:color w:val="auto"/>
          <w:highlight w:val="none"/>
        </w:rPr>
        <w:t>，</w:t>
      </w:r>
      <w:r>
        <w:rPr>
          <w:color w:val="auto"/>
          <w:highlight w:val="none"/>
        </w:rPr>
        <w:t>且单项合同额不少于</w:t>
      </w:r>
      <w:r>
        <w:rPr>
          <w:rFonts w:hint="eastAsia"/>
          <w:color w:val="auto"/>
          <w:highlight w:val="none"/>
          <w:lang w:val="en-US" w:eastAsia="zh-CN"/>
        </w:rPr>
        <w:t>60</w:t>
      </w:r>
      <w:r>
        <w:rPr>
          <w:color w:val="auto"/>
          <w:highlight w:val="none"/>
        </w:rPr>
        <w:t>万元人民币）</w:t>
      </w:r>
      <w:r>
        <w:rPr>
          <w:rFonts w:hint="eastAsia" w:ascii="宋体" w:hAnsi="宋体"/>
          <w:color w:val="auto"/>
          <w:highlight w:val="none"/>
        </w:rPr>
        <w:t>。</w:t>
      </w:r>
    </w:p>
    <w:p>
      <w:pPr>
        <w:shd w:val="clear" w:color="auto" w:fill="FFFFFF"/>
        <w:spacing w:line="300" w:lineRule="auto"/>
        <w:ind w:firstLine="437"/>
        <w:rPr>
          <w:color w:val="auto"/>
          <w:highlight w:val="none"/>
        </w:rPr>
      </w:pPr>
      <w:r>
        <w:rPr>
          <w:rFonts w:hint="eastAsia"/>
          <w:color w:val="auto"/>
          <w:highlight w:val="none"/>
        </w:rPr>
        <w:t>3.4项目经理资格要求：</w:t>
      </w:r>
    </w:p>
    <w:p>
      <w:pPr>
        <w:shd w:val="clear" w:color="auto" w:fill="FFFFFF"/>
        <w:spacing w:line="300" w:lineRule="auto"/>
        <w:ind w:firstLine="437"/>
        <w:rPr>
          <w:bCs/>
          <w:color w:val="auto"/>
          <w:highlight w:val="none"/>
        </w:rPr>
      </w:pPr>
      <w:r>
        <w:rPr>
          <w:rFonts w:hint="eastAsia"/>
          <w:bCs/>
          <w:color w:val="auto"/>
          <w:highlight w:val="none"/>
        </w:rPr>
        <w:t>拟派项目经理须具备建设行政主管部门颁发的机电工程专业</w:t>
      </w:r>
      <w:r>
        <w:rPr>
          <w:rFonts w:hint="eastAsia"/>
          <w:bCs/>
          <w:color w:val="auto"/>
          <w:highlight w:val="none"/>
          <w:lang w:val="en-US" w:eastAsia="zh-CN"/>
        </w:rPr>
        <w:t>二</w:t>
      </w:r>
      <w:r>
        <w:rPr>
          <w:rFonts w:hint="eastAsia"/>
          <w:bCs/>
          <w:color w:val="auto"/>
          <w:highlight w:val="none"/>
        </w:rPr>
        <w:t>级（含以上级）注册建造师执业资格，具备有效的安全生产考核合格证书，并且至少担任过一项已完成的类似项目</w:t>
      </w:r>
      <w:r>
        <w:rPr>
          <w:bCs/>
          <w:color w:val="auto"/>
          <w:highlight w:val="none"/>
        </w:rPr>
        <w:t>（类似项目</w:t>
      </w:r>
      <w:r>
        <w:rPr>
          <w:rFonts w:hint="eastAsia"/>
          <w:bCs/>
          <w:color w:val="auto"/>
          <w:highlight w:val="none"/>
        </w:rPr>
        <w:t>业绩</w:t>
      </w:r>
      <w:r>
        <w:rPr>
          <w:bCs/>
          <w:color w:val="auto"/>
          <w:highlight w:val="none"/>
        </w:rPr>
        <w:t>定义：合同签订时间在20</w:t>
      </w:r>
      <w:r>
        <w:rPr>
          <w:rFonts w:hint="eastAsia"/>
          <w:bCs/>
          <w:color w:val="auto"/>
          <w:highlight w:val="none"/>
        </w:rPr>
        <w:t>1</w:t>
      </w:r>
      <w:r>
        <w:rPr>
          <w:rFonts w:hint="eastAsia"/>
          <w:bCs/>
          <w:color w:val="auto"/>
          <w:highlight w:val="none"/>
          <w:lang w:val="en-US" w:eastAsia="zh-CN"/>
        </w:rPr>
        <w:t>6</w:t>
      </w:r>
      <w:r>
        <w:rPr>
          <w:bCs/>
          <w:color w:val="auto"/>
          <w:highlight w:val="none"/>
        </w:rPr>
        <w:t>年1月1日至投标截止时间内的中华人民共和国境内</w:t>
      </w:r>
      <w:r>
        <w:rPr>
          <w:rFonts w:hint="eastAsia"/>
          <w:bCs/>
          <w:color w:val="auto"/>
          <w:highlight w:val="none"/>
        </w:rPr>
        <w:t>，</w:t>
      </w:r>
      <w:r>
        <w:rPr>
          <w:bCs/>
          <w:color w:val="auto"/>
          <w:highlight w:val="none"/>
        </w:rPr>
        <w:t>且单项合同额不少于</w:t>
      </w:r>
      <w:r>
        <w:rPr>
          <w:rFonts w:hint="eastAsia"/>
          <w:bCs/>
          <w:color w:val="auto"/>
          <w:highlight w:val="none"/>
          <w:lang w:val="en-US" w:eastAsia="zh-CN"/>
        </w:rPr>
        <w:t>60</w:t>
      </w:r>
      <w:r>
        <w:rPr>
          <w:bCs/>
          <w:color w:val="auto"/>
          <w:highlight w:val="none"/>
        </w:rPr>
        <w:t>万元人民币）</w:t>
      </w:r>
      <w:r>
        <w:rPr>
          <w:rFonts w:hint="eastAsia"/>
          <w:bCs/>
          <w:color w:val="auto"/>
          <w:highlight w:val="none"/>
        </w:rPr>
        <w:t>的项目经理职务；为投标人在职或制造商在职员工，其缴纳投标文件递交截止时间前6个月及以上的养老保险。</w:t>
      </w:r>
    </w:p>
    <w:p>
      <w:pPr>
        <w:shd w:val="clear" w:color="auto" w:fill="FFFFFF"/>
        <w:spacing w:line="300" w:lineRule="auto"/>
        <w:ind w:firstLine="437"/>
        <w:rPr>
          <w:color w:val="auto"/>
          <w:highlight w:val="none"/>
        </w:rPr>
      </w:pPr>
      <w:r>
        <w:rPr>
          <w:rFonts w:hint="eastAsia"/>
          <w:color w:val="auto"/>
          <w:highlight w:val="none"/>
        </w:rPr>
        <w:t>3.5财务要求：投标人201</w:t>
      </w:r>
      <w:r>
        <w:rPr>
          <w:rFonts w:hint="eastAsia"/>
          <w:color w:val="auto"/>
          <w:highlight w:val="none"/>
          <w:lang w:val="en-US" w:eastAsia="zh-CN"/>
        </w:rPr>
        <w:t>6</w:t>
      </w:r>
      <w:r>
        <w:rPr>
          <w:rFonts w:hint="eastAsia"/>
          <w:color w:val="auto"/>
          <w:highlight w:val="none"/>
        </w:rPr>
        <w:t>年度~201</w:t>
      </w:r>
      <w:r>
        <w:rPr>
          <w:rFonts w:hint="eastAsia"/>
          <w:color w:val="auto"/>
          <w:highlight w:val="none"/>
          <w:lang w:val="en-US" w:eastAsia="zh-CN"/>
        </w:rPr>
        <w:t>8</w:t>
      </w:r>
      <w:r>
        <w:rPr>
          <w:rFonts w:hint="eastAsia"/>
          <w:color w:val="auto"/>
          <w:highlight w:val="none"/>
        </w:rPr>
        <w:t>年度财务审计报告</w:t>
      </w:r>
      <w:r>
        <w:rPr>
          <w:rFonts w:hint="eastAsia"/>
          <w:color w:val="auto"/>
          <w:highlight w:val="none"/>
          <w:lang w:eastAsia="zh-CN"/>
        </w:rPr>
        <w:t>，</w:t>
      </w:r>
      <w:r>
        <w:rPr>
          <w:rFonts w:hint="eastAsia"/>
          <w:color w:val="auto"/>
          <w:highlight w:val="none"/>
        </w:rPr>
        <w:t>未出现连续三年亏损，审计报告中无否定意见或无法表示意见（投标人成立不足三年的按已有年份提供）。</w:t>
      </w:r>
    </w:p>
    <w:p>
      <w:pPr>
        <w:shd w:val="clear" w:color="auto" w:fill="FFFFFF"/>
        <w:spacing w:line="300" w:lineRule="auto"/>
        <w:ind w:firstLine="437"/>
        <w:rPr>
          <w:color w:val="auto"/>
          <w:highlight w:val="none"/>
        </w:rPr>
      </w:pPr>
      <w:r>
        <w:rPr>
          <w:rFonts w:hint="eastAsia"/>
          <w:color w:val="auto"/>
          <w:highlight w:val="none"/>
        </w:rPr>
        <w:t>3.6信誉要求：投标人没有处于破产、被责令停产、停业、投标资格被取消状态（格式自拟并加盖单位公章）。</w:t>
      </w:r>
    </w:p>
    <w:p>
      <w:pPr>
        <w:shd w:val="clear" w:color="auto" w:fill="FFFFFF"/>
        <w:spacing w:line="300" w:lineRule="auto"/>
        <w:ind w:firstLine="437"/>
        <w:rPr>
          <w:rFonts w:hint="eastAsia"/>
          <w:color w:val="auto"/>
          <w:szCs w:val="22"/>
          <w:highlight w:val="none"/>
          <w:lang w:val="zh-CN" w:eastAsia="zh-CN"/>
        </w:rPr>
      </w:pPr>
      <w:r>
        <w:rPr>
          <w:rFonts w:hint="eastAsia"/>
          <w:color w:val="auto"/>
          <w:szCs w:val="22"/>
          <w:highlight w:val="none"/>
          <w:lang w:val="en-US" w:eastAsia="zh-CN"/>
        </w:rPr>
        <w:t>3.7单位负责人为同一人或者存在控股、管理关系的不同单位，不得参加同一招标项目投标。</w:t>
      </w:r>
    </w:p>
    <w:p>
      <w:pPr>
        <w:shd w:val="clear" w:color="auto" w:fill="FFFFFF"/>
        <w:spacing w:line="300" w:lineRule="auto"/>
        <w:ind w:firstLine="437"/>
        <w:rPr>
          <w:rFonts w:hint="eastAsia"/>
          <w:color w:val="auto"/>
          <w:szCs w:val="22"/>
          <w:highlight w:val="none"/>
          <w:lang w:val="zh-CN" w:eastAsia="zh-CN"/>
        </w:rPr>
      </w:pPr>
      <w:r>
        <w:rPr>
          <w:rFonts w:hint="eastAsia"/>
          <w:color w:val="auto"/>
          <w:szCs w:val="22"/>
          <w:highlight w:val="none"/>
          <w:lang w:val="zh-CN" w:eastAsia="zh-CN"/>
        </w:rPr>
        <w:t>3.</w:t>
      </w:r>
      <w:r>
        <w:rPr>
          <w:rFonts w:hint="eastAsia"/>
          <w:color w:val="auto"/>
          <w:szCs w:val="22"/>
          <w:highlight w:val="none"/>
          <w:lang w:val="en-US" w:eastAsia="zh-CN"/>
        </w:rPr>
        <w:t>8</w:t>
      </w:r>
      <w:r>
        <w:rPr>
          <w:rFonts w:hint="eastAsia"/>
          <w:color w:val="auto"/>
          <w:szCs w:val="22"/>
          <w:highlight w:val="none"/>
          <w:lang w:val="zh-CN" w:eastAsia="zh-CN"/>
        </w:rPr>
        <w:t>本次</w:t>
      </w:r>
      <w:r>
        <w:rPr>
          <w:rFonts w:hint="eastAsia"/>
          <w:color w:val="auto"/>
          <w:szCs w:val="22"/>
          <w:highlight w:val="none"/>
          <w:lang w:val="en-US" w:eastAsia="zh-CN"/>
        </w:rPr>
        <w:t>招标不接受联合体投标</w:t>
      </w:r>
      <w:r>
        <w:rPr>
          <w:rFonts w:hint="eastAsia"/>
          <w:color w:val="auto"/>
          <w:szCs w:val="22"/>
          <w:highlight w:val="none"/>
          <w:lang w:val="zh-CN" w:eastAsia="zh-CN"/>
        </w:rPr>
        <w:t>。</w:t>
      </w:r>
    </w:p>
    <w:p>
      <w:pPr>
        <w:shd w:val="clear" w:color="auto" w:fill="FFFFFF"/>
        <w:spacing w:line="300" w:lineRule="auto"/>
        <w:ind w:firstLine="437"/>
        <w:rPr>
          <w:color w:val="auto"/>
          <w:highlight w:val="none"/>
          <w:lang w:val="zh-CN"/>
        </w:rPr>
      </w:pPr>
      <w:r>
        <w:rPr>
          <w:rFonts w:hint="eastAsia"/>
          <w:color w:val="auto"/>
          <w:szCs w:val="22"/>
          <w:highlight w:val="none"/>
          <w:lang w:val="zh-CN" w:eastAsia="zh-CN"/>
        </w:rPr>
        <w:t>3.</w:t>
      </w:r>
      <w:r>
        <w:rPr>
          <w:rFonts w:hint="eastAsia"/>
          <w:color w:val="auto"/>
          <w:szCs w:val="22"/>
          <w:highlight w:val="none"/>
          <w:lang w:val="en-US" w:eastAsia="zh-CN"/>
        </w:rPr>
        <w:t>9根据《关于在政府采购活动中查询及使用信用记录有关问题的通知》(财库[2016]125号)的规定，通过“信用中国”网站（https://www.creditchina.gov.cn/）查询，企业需查询：失信被执行人、重大税收违法案件当事人名单、（从信用服务栏进入）失信惩戒对象；企业法定代表人（或单位负责人）需查询：（从个人信用栏进入）失信被执行人名单。通过“中国政府采购网”（www.ccgp.gov.cn/）查询企业“政府采购严重违法失信行为记录名单”有不良记录的， 拒绝参与本项目（查询日期须在本招标公告发布日期当日或之后，网页打印件并加盖投标人公章）。</w:t>
      </w:r>
    </w:p>
    <w:p>
      <w:pPr>
        <w:pageBreakBefore w:val="0"/>
        <w:widowControl w:val="0"/>
        <w:shd w:val="clear" w:color="auto" w:fill="FFFFFF"/>
        <w:kinsoku/>
        <w:wordWrap/>
        <w:overflowPunct/>
        <w:topLinePunct w:val="0"/>
        <w:autoSpaceDE/>
        <w:autoSpaceDN/>
        <w:bidi w:val="0"/>
        <w:adjustRightInd/>
        <w:snapToGrid/>
        <w:spacing w:line="400" w:lineRule="exact"/>
        <w:ind w:firstLine="437"/>
        <w:textAlignment w:val="auto"/>
        <w:rPr>
          <w:rFonts w:hint="eastAsia" w:ascii="宋体" w:hAnsi="宋体" w:eastAsia="宋体" w:cs="宋体"/>
          <w:color w:val="auto"/>
          <w:highlight w:val="none"/>
        </w:rPr>
      </w:pPr>
      <w:r>
        <w:rPr>
          <w:rFonts w:hint="eastAsia" w:ascii="宋体" w:hAnsi="宋体" w:eastAsia="宋体" w:cs="宋体"/>
          <w:color w:val="auto"/>
          <w:highlight w:val="none"/>
        </w:rPr>
        <w:t>注：1.同一项目业绩不得在投标人业绩、项目经理业绩中重复统计。</w:t>
      </w:r>
    </w:p>
    <w:p>
      <w:pPr>
        <w:pStyle w:val="3"/>
        <w:keepNext/>
        <w:keepLines/>
        <w:pageBreakBefore w:val="0"/>
        <w:widowControl w:val="0"/>
        <w:kinsoku/>
        <w:wordWrap/>
        <w:overflowPunct/>
        <w:topLinePunct w:val="0"/>
        <w:autoSpaceDE/>
        <w:autoSpaceDN/>
        <w:bidi w:val="0"/>
        <w:adjustRightInd/>
        <w:snapToGrid/>
        <w:spacing w:line="200" w:lineRule="exact"/>
        <w:ind w:firstLine="281" w:firstLineChars="100"/>
        <w:textAlignment w:val="auto"/>
        <w:rPr>
          <w:rFonts w:hint="eastAsia" w:ascii="宋体" w:hAnsi="宋体" w:eastAsia="宋体"/>
          <w:b/>
          <w:bCs/>
          <w:kern w:val="2"/>
          <w:sz w:val="28"/>
          <w:szCs w:val="22"/>
          <w:lang w:val="en-US" w:eastAsia="zh-CN" w:bidi="ar-SA"/>
        </w:rPr>
      </w:pPr>
      <w:bookmarkStart w:id="30" w:name="_Toc496048475"/>
      <w:bookmarkStart w:id="31" w:name="_Toc25487"/>
      <w:bookmarkStart w:id="32" w:name="_Toc509584164"/>
      <w:bookmarkStart w:id="33" w:name="_Toc1093"/>
      <w:bookmarkStart w:id="34" w:name="_Toc23112"/>
      <w:bookmarkStart w:id="35" w:name="_Toc144974401"/>
      <w:bookmarkStart w:id="36" w:name="_Toc152047197"/>
      <w:r>
        <w:rPr>
          <w:rFonts w:hint="eastAsia" w:ascii="宋体" w:hAnsi="宋体" w:eastAsia="宋体"/>
          <w:b/>
          <w:bCs/>
          <w:kern w:val="2"/>
          <w:sz w:val="28"/>
          <w:szCs w:val="22"/>
          <w:lang w:val="en-US" w:eastAsia="zh-CN" w:bidi="ar-SA"/>
        </w:rPr>
        <w:t>4.投标报名</w:t>
      </w:r>
      <w:bookmarkEnd w:id="30"/>
      <w:bookmarkEnd w:id="31"/>
      <w:bookmarkEnd w:id="32"/>
      <w:bookmarkEnd w:id="33"/>
      <w:bookmarkEnd w:id="34"/>
    </w:p>
    <w:p>
      <w:pPr>
        <w:pStyle w:val="10"/>
        <w:pageBreakBefore w:val="0"/>
        <w:kinsoku/>
        <w:wordWrap/>
        <w:overflowPunct/>
        <w:topLinePunct w:val="0"/>
        <w:autoSpaceDE/>
        <w:autoSpaceDN/>
        <w:bidi w:val="0"/>
        <w:adjustRightInd/>
        <w:snapToGrid/>
        <w:spacing w:line="400" w:lineRule="exact"/>
        <w:ind w:firstLine="420" w:firstLineChars="200"/>
        <w:textAlignment w:val="auto"/>
        <w:rPr>
          <w:rFonts w:hint="eastAsia"/>
        </w:rPr>
      </w:pPr>
      <w:bookmarkStart w:id="37" w:name="_Toc17456"/>
      <w:bookmarkStart w:id="38" w:name="_Toc496048476"/>
      <w:bookmarkStart w:id="39" w:name="_Toc509584165"/>
      <w:bookmarkStart w:id="40" w:name="_Toc9547"/>
      <w:bookmarkStart w:id="41" w:name="_Toc2557"/>
      <w:r>
        <w:rPr>
          <w:rFonts w:hint="eastAsia"/>
        </w:rPr>
        <w:t>4.1本项目采取网上报名与现场查验相结合的报名方法，只有通过现场查验的报名单位才能网上购买下载招标文件。</w:t>
      </w:r>
    </w:p>
    <w:p>
      <w:pPr>
        <w:pStyle w:val="10"/>
        <w:spacing w:line="360" w:lineRule="auto"/>
        <w:ind w:firstLine="420" w:firstLineChars="200"/>
        <w:rPr>
          <w:rFonts w:hint="eastAsia"/>
          <w:highlight w:val="none"/>
        </w:rPr>
      </w:pPr>
      <w:r>
        <w:rPr>
          <w:rFonts w:hint="eastAsia"/>
        </w:rPr>
        <w:t>4.2网上报名：凡有意申请参加投标者，请于</w:t>
      </w:r>
      <w:r>
        <w:rPr>
          <w:rFonts w:hint="eastAsia"/>
          <w:highlight w:val="none"/>
        </w:rPr>
        <w:t>2019年</w:t>
      </w:r>
      <w:r>
        <w:rPr>
          <w:rFonts w:hint="eastAsia"/>
          <w:highlight w:val="none"/>
          <w:lang w:val="en-US" w:eastAsia="zh-CN"/>
        </w:rPr>
        <w:t>11</w:t>
      </w:r>
      <w:r>
        <w:rPr>
          <w:rFonts w:hint="eastAsia"/>
          <w:highlight w:val="none"/>
        </w:rPr>
        <w:t>月</w:t>
      </w:r>
      <w:r>
        <w:rPr>
          <w:rFonts w:hint="eastAsia"/>
          <w:highlight w:val="none"/>
          <w:lang w:val="en-US" w:eastAsia="zh-CN"/>
        </w:rPr>
        <w:t>12</w:t>
      </w:r>
      <w:r>
        <w:rPr>
          <w:rFonts w:hint="eastAsia"/>
          <w:highlight w:val="none"/>
        </w:rPr>
        <w:t>日至2019年</w:t>
      </w:r>
      <w:r>
        <w:rPr>
          <w:rFonts w:hint="eastAsia"/>
          <w:highlight w:val="none"/>
          <w:lang w:val="en-US" w:eastAsia="zh-CN"/>
        </w:rPr>
        <w:t>11</w:t>
      </w:r>
      <w:r>
        <w:rPr>
          <w:rFonts w:hint="eastAsia"/>
          <w:highlight w:val="none"/>
        </w:rPr>
        <w:t>月</w:t>
      </w:r>
      <w:r>
        <w:rPr>
          <w:rFonts w:hint="eastAsia"/>
          <w:highlight w:val="none"/>
          <w:lang w:val="en-US" w:eastAsia="zh-CN"/>
        </w:rPr>
        <w:t>18</w:t>
      </w:r>
      <w:r>
        <w:rPr>
          <w:rFonts w:hint="eastAsia"/>
          <w:highlight w:val="none"/>
        </w:rPr>
        <w:t>日，凭企业身份认证锁（CA密钥）进行网上投标报名，投标人未按照规定时间在网上报名的，其投标将被拒绝。（尚未办理企业CA数字证书及电子签章的，请登录“阳光易招”公共资源交易平台http://gg.sunbidding.com进行企业账号注册，并在郑州市郑东新区东风南路与创业路交汇处西南角绿地中心双子塔北塔16楼（“阳光易招”公共资源交易平台）现场办理CA数字证书及电子签章（具体办理事宜请查询“阳光易招”公共资源交易平台http://gg.sunbidding.com网站-办事指南-《CA办理流程》）。</w:t>
      </w:r>
    </w:p>
    <w:p>
      <w:pPr>
        <w:pStyle w:val="10"/>
        <w:spacing w:line="360" w:lineRule="auto"/>
        <w:ind w:firstLine="420" w:firstLineChars="200"/>
        <w:rPr>
          <w:rFonts w:hint="eastAsia"/>
          <w:highlight w:val="none"/>
        </w:rPr>
      </w:pPr>
      <w:r>
        <w:rPr>
          <w:rFonts w:hint="eastAsia"/>
          <w:highlight w:val="none"/>
        </w:rPr>
        <w:t>注：（“阳光易招”公共资源交易平台客服电话：0371-86581171； QQ：3071084695）</w:t>
      </w:r>
    </w:p>
    <w:p>
      <w:pPr>
        <w:pStyle w:val="10"/>
        <w:spacing w:line="360" w:lineRule="auto"/>
        <w:ind w:firstLine="420" w:firstLineChars="200"/>
        <w:rPr>
          <w:rFonts w:hint="eastAsia"/>
          <w:highlight w:val="none"/>
        </w:rPr>
      </w:pPr>
      <w:r>
        <w:rPr>
          <w:rFonts w:hint="eastAsia"/>
          <w:highlight w:val="none"/>
        </w:rPr>
        <w:t>4.3现场查验，请于2019年</w:t>
      </w:r>
      <w:r>
        <w:rPr>
          <w:rFonts w:hint="eastAsia"/>
          <w:highlight w:val="none"/>
          <w:lang w:val="en-US" w:eastAsia="zh-CN"/>
        </w:rPr>
        <w:t>11</w:t>
      </w:r>
      <w:r>
        <w:rPr>
          <w:rFonts w:hint="eastAsia"/>
          <w:highlight w:val="none"/>
        </w:rPr>
        <w:t>月</w:t>
      </w:r>
      <w:r>
        <w:rPr>
          <w:rFonts w:hint="eastAsia"/>
          <w:highlight w:val="none"/>
          <w:lang w:val="en-US" w:eastAsia="zh-CN"/>
        </w:rPr>
        <w:t>12</w:t>
      </w:r>
      <w:r>
        <w:rPr>
          <w:rFonts w:hint="eastAsia"/>
          <w:highlight w:val="none"/>
        </w:rPr>
        <w:t>日至2019年</w:t>
      </w:r>
      <w:r>
        <w:rPr>
          <w:rFonts w:hint="eastAsia"/>
          <w:highlight w:val="none"/>
          <w:lang w:val="en-US" w:eastAsia="zh-CN"/>
        </w:rPr>
        <w:t>11</w:t>
      </w:r>
      <w:r>
        <w:rPr>
          <w:rFonts w:hint="eastAsia"/>
          <w:highlight w:val="none"/>
        </w:rPr>
        <w:t>月</w:t>
      </w:r>
      <w:r>
        <w:rPr>
          <w:rFonts w:hint="eastAsia"/>
          <w:highlight w:val="none"/>
          <w:lang w:val="en-US" w:eastAsia="zh-CN"/>
        </w:rPr>
        <w:t>18</w:t>
      </w:r>
      <w:r>
        <w:rPr>
          <w:rFonts w:hint="eastAsia"/>
          <w:highlight w:val="none"/>
        </w:rPr>
        <w:t>日，每日08时30分至12时00分，14时00分至17时00分（北京时间，下同），在郑州市郑东新区东风南路与创业路交汇处西南角绿地中心双子塔北塔16楼业务一部报名。</w:t>
      </w:r>
    </w:p>
    <w:p>
      <w:pPr>
        <w:pStyle w:val="10"/>
        <w:spacing w:line="360" w:lineRule="auto"/>
        <w:ind w:firstLine="420" w:firstLineChars="200"/>
        <w:rPr>
          <w:rFonts w:hint="eastAsia"/>
          <w:highlight w:val="none"/>
        </w:rPr>
      </w:pPr>
      <w:r>
        <w:rPr>
          <w:rFonts w:hint="eastAsia"/>
          <w:highlight w:val="none"/>
        </w:rPr>
        <w:t>4.4报名须持企业法定代表人授权委托书及被委托人身份证，同时请携带本公告第3条投标人资格要求中对应的资料按顺序整理并加盖单位公章的复印件一套，现场核验原件，留存复印件。</w:t>
      </w:r>
    </w:p>
    <w:bookmarkEnd w:id="37"/>
    <w:bookmarkEnd w:id="38"/>
    <w:bookmarkEnd w:id="39"/>
    <w:bookmarkEnd w:id="40"/>
    <w:bookmarkEnd w:id="41"/>
    <w:p>
      <w:pPr>
        <w:pStyle w:val="9"/>
        <w:spacing w:before="0" w:line="360" w:lineRule="auto"/>
        <w:outlineLvl w:val="0"/>
        <w:rPr>
          <w:rFonts w:ascii="宋体" w:hAnsi="宋体" w:eastAsia="宋体"/>
          <w:b/>
          <w:bCs/>
          <w:highlight w:val="none"/>
        </w:rPr>
      </w:pPr>
      <w:bookmarkStart w:id="42" w:name="_Toc14955"/>
      <w:bookmarkStart w:id="43" w:name="_Toc19201330"/>
      <w:bookmarkStart w:id="44" w:name="_Toc907"/>
      <w:bookmarkStart w:id="45" w:name="_Toc31766"/>
      <w:bookmarkStart w:id="46" w:name="_Toc26608"/>
      <w:bookmarkStart w:id="47" w:name="_Toc496048477"/>
      <w:bookmarkStart w:id="48" w:name="_Toc509584166"/>
      <w:r>
        <w:rPr>
          <w:rFonts w:ascii="宋体" w:hAnsi="宋体" w:eastAsia="宋体"/>
          <w:b/>
          <w:bCs/>
          <w:highlight w:val="none"/>
        </w:rPr>
        <w:t>5.招标文件的获取</w:t>
      </w:r>
      <w:bookmarkEnd w:id="42"/>
      <w:bookmarkEnd w:id="43"/>
    </w:p>
    <w:p>
      <w:pPr>
        <w:pStyle w:val="10"/>
        <w:spacing w:line="360" w:lineRule="auto"/>
        <w:ind w:firstLine="420" w:firstLineChars="200"/>
        <w:rPr>
          <w:rFonts w:hint="eastAsia"/>
          <w:highlight w:val="none"/>
        </w:rPr>
      </w:pPr>
      <w:bookmarkStart w:id="49" w:name="_Toc490062196"/>
      <w:bookmarkStart w:id="50" w:name="_Toc528337400"/>
      <w:r>
        <w:rPr>
          <w:rFonts w:hint="eastAsia"/>
          <w:highlight w:val="none"/>
        </w:rPr>
        <w:t>5.1</w:t>
      </w:r>
      <w:r>
        <w:rPr>
          <w:rFonts w:hint="eastAsia"/>
          <w:highlight w:val="none"/>
          <w:lang w:val="en-US" w:eastAsia="zh-CN"/>
        </w:rPr>
        <w:t>招标文件下载时间另行通知</w:t>
      </w:r>
      <w:r>
        <w:rPr>
          <w:rFonts w:hint="eastAsia"/>
          <w:highlight w:val="none"/>
        </w:rPr>
        <w:t>。文件费用每套</w:t>
      </w:r>
      <w:r>
        <w:rPr>
          <w:rFonts w:hint="eastAsia"/>
          <w:highlight w:val="none"/>
          <w:lang w:eastAsia="zh-CN"/>
        </w:rPr>
        <w:t>壹仟</w:t>
      </w:r>
      <w:r>
        <w:rPr>
          <w:rFonts w:hint="eastAsia"/>
          <w:highlight w:val="none"/>
        </w:rPr>
        <w:t>元人民币，网上支付，售后不退。</w:t>
      </w:r>
    </w:p>
    <w:p>
      <w:pPr>
        <w:pStyle w:val="10"/>
        <w:spacing w:line="360" w:lineRule="auto"/>
        <w:ind w:firstLine="420" w:firstLineChars="200"/>
        <w:rPr>
          <w:rFonts w:hint="eastAsia"/>
          <w:highlight w:val="none"/>
        </w:rPr>
      </w:pPr>
      <w:r>
        <w:rPr>
          <w:rFonts w:hint="eastAsia"/>
          <w:highlight w:val="none"/>
        </w:rPr>
        <w:t>5.2 请投标企业报名下载招标文件后，及时关注系统业务菜单（“答疑澄清文件领取”，“控制价文件领取”）内该项目是否有的新的答疑澄清文件或控制价文件。如有请直接下载，不再另行通知。</w:t>
      </w:r>
    </w:p>
    <w:p>
      <w:pPr>
        <w:pStyle w:val="9"/>
        <w:spacing w:before="0" w:line="360" w:lineRule="auto"/>
        <w:outlineLvl w:val="0"/>
        <w:rPr>
          <w:rFonts w:ascii="宋体" w:hAnsi="宋体" w:eastAsia="宋体"/>
          <w:b/>
          <w:bCs/>
          <w:highlight w:val="none"/>
        </w:rPr>
      </w:pPr>
      <w:bookmarkStart w:id="51" w:name="_Toc19354"/>
      <w:bookmarkStart w:id="52" w:name="_Toc19201331"/>
      <w:r>
        <w:rPr>
          <w:rFonts w:ascii="宋体" w:hAnsi="宋体" w:eastAsia="宋体"/>
          <w:b/>
          <w:bCs/>
          <w:highlight w:val="none"/>
        </w:rPr>
        <w:t>6.投标文件的递交</w:t>
      </w:r>
      <w:bookmarkEnd w:id="49"/>
      <w:bookmarkEnd w:id="50"/>
      <w:bookmarkEnd w:id="51"/>
      <w:bookmarkEnd w:id="52"/>
    </w:p>
    <w:p>
      <w:pPr>
        <w:pStyle w:val="10"/>
        <w:spacing w:line="360" w:lineRule="auto"/>
        <w:ind w:firstLine="420" w:firstLineChars="200"/>
      </w:pPr>
      <w:r>
        <w:rPr>
          <w:highlight w:val="none"/>
        </w:rPr>
        <w:t>6.1</w:t>
      </w:r>
      <w:r>
        <w:rPr>
          <w:rFonts w:hint="eastAsia"/>
          <w:highlight w:val="none"/>
        </w:rPr>
        <w:t>投标文件递交截止时间及开标时间：</w:t>
      </w:r>
      <w:r>
        <w:rPr>
          <w:rFonts w:hint="eastAsia"/>
          <w:highlight w:val="none"/>
          <w:lang w:val="en-US" w:eastAsia="zh-CN"/>
        </w:rPr>
        <w:t>详见招标文件</w:t>
      </w:r>
      <w:r>
        <w:rPr>
          <w:rFonts w:hint="eastAsia"/>
          <w:highlight w:val="none"/>
        </w:rPr>
        <w:t>。</w:t>
      </w:r>
    </w:p>
    <w:p>
      <w:pPr>
        <w:pStyle w:val="10"/>
        <w:spacing w:line="360" w:lineRule="auto"/>
        <w:ind w:firstLine="420" w:firstLineChars="200"/>
      </w:pPr>
      <w:r>
        <w:rPr>
          <w:rFonts w:hint="eastAsia"/>
        </w:rPr>
        <w:t>6.2投标人必须在投标截止时间前通过“阳光易招”公共资源交易平台电子招投标系统上传电子投标文件(</w:t>
      </w:r>
      <w:r>
        <w:t>.file</w:t>
      </w:r>
      <w:r>
        <w:rPr>
          <w:rFonts w:hint="eastAsia"/>
        </w:rPr>
        <w:t>格式)。上传的投标文件应使用投标人CA数字证书认证并加密。</w:t>
      </w:r>
    </w:p>
    <w:p>
      <w:pPr>
        <w:pStyle w:val="10"/>
        <w:spacing w:line="360" w:lineRule="auto"/>
        <w:ind w:firstLine="420" w:firstLineChars="200"/>
        <w:rPr>
          <w:rFonts w:hint="eastAsia"/>
        </w:rPr>
      </w:pPr>
      <w:r>
        <w:rPr>
          <w:rFonts w:hint="eastAsia"/>
        </w:rPr>
        <w:t>6.3投标文件递交地点为：郑州市郑东新区东风南路与创业路交汇处西南角绿地中心双子塔北塔16楼会议室。</w:t>
      </w:r>
    </w:p>
    <w:p>
      <w:pPr>
        <w:pStyle w:val="10"/>
        <w:spacing w:line="360" w:lineRule="auto"/>
        <w:ind w:firstLine="420" w:firstLineChars="200"/>
      </w:pPr>
      <w:r>
        <w:rPr>
          <w:rFonts w:hint="eastAsia"/>
        </w:rPr>
        <w:t>6.4 本项目评标以电子投标文件为依据，未在投标截止时间前上传电子投标文件并递交非加密的电子投标文件U盘、纸质投标文件的投标人，视为自动放弃其投标。</w:t>
      </w:r>
    </w:p>
    <w:p>
      <w:pPr>
        <w:pStyle w:val="3"/>
        <w:keepNext/>
        <w:keepLines/>
        <w:pageBreakBefore w:val="0"/>
        <w:widowControl w:val="0"/>
        <w:kinsoku/>
        <w:wordWrap/>
        <w:overflowPunct/>
        <w:topLinePunct w:val="0"/>
        <w:autoSpaceDE/>
        <w:autoSpaceDN/>
        <w:bidi w:val="0"/>
        <w:adjustRightInd/>
        <w:snapToGrid/>
        <w:spacing w:line="200" w:lineRule="exact"/>
        <w:textAlignment w:val="auto"/>
        <w:rPr>
          <w:rFonts w:ascii="宋体" w:hAnsi="宋体" w:eastAsia="宋体"/>
          <w:b/>
          <w:bCs/>
          <w:kern w:val="2"/>
          <w:sz w:val="28"/>
          <w:szCs w:val="22"/>
          <w:lang w:val="en-US" w:eastAsia="zh-CN" w:bidi="ar-SA"/>
        </w:rPr>
      </w:pPr>
      <w:r>
        <w:rPr>
          <w:rFonts w:hint="eastAsia" w:ascii="宋体" w:hAnsi="宋体" w:eastAsia="宋体"/>
          <w:b/>
          <w:bCs/>
          <w:kern w:val="2"/>
          <w:sz w:val="28"/>
          <w:szCs w:val="22"/>
          <w:lang w:val="en-US" w:eastAsia="zh-CN" w:bidi="ar-SA"/>
        </w:rPr>
        <w:t>7</w:t>
      </w:r>
      <w:r>
        <w:rPr>
          <w:rFonts w:ascii="宋体" w:hAnsi="宋体" w:eastAsia="宋体"/>
          <w:b/>
          <w:bCs/>
          <w:kern w:val="2"/>
          <w:sz w:val="28"/>
          <w:szCs w:val="22"/>
          <w:lang w:val="en-US" w:eastAsia="zh-CN" w:bidi="ar-SA"/>
        </w:rPr>
        <w:t>.</w:t>
      </w:r>
      <w:bookmarkEnd w:id="44"/>
      <w:r>
        <w:rPr>
          <w:rFonts w:hint="eastAsia" w:ascii="宋体" w:hAnsi="宋体" w:eastAsia="宋体"/>
          <w:b/>
          <w:bCs/>
          <w:kern w:val="2"/>
          <w:sz w:val="28"/>
          <w:szCs w:val="22"/>
          <w:lang w:val="en-US" w:eastAsia="zh-CN" w:bidi="ar-SA"/>
        </w:rPr>
        <w:t>发布公告的媒介</w:t>
      </w:r>
      <w:bookmarkEnd w:id="45"/>
      <w:bookmarkEnd w:id="46"/>
      <w:bookmarkEnd w:id="47"/>
      <w:bookmarkEnd w:id="48"/>
    </w:p>
    <w:p>
      <w:pPr>
        <w:shd w:val="clear" w:color="auto" w:fill="FFFFFF"/>
        <w:spacing w:line="360" w:lineRule="auto"/>
        <w:ind w:firstLine="437"/>
        <w:rPr>
          <w:color w:val="auto"/>
          <w:highlight w:val="none"/>
        </w:rPr>
      </w:pPr>
      <w:r>
        <w:rPr>
          <w:rFonts w:hint="eastAsia"/>
          <w:color w:val="auto"/>
          <w:highlight w:val="none"/>
        </w:rPr>
        <w:t>本次招标公告同时在</w:t>
      </w:r>
      <w:r>
        <w:rPr>
          <w:rFonts w:hint="eastAsia"/>
          <w:color w:val="auto"/>
          <w:szCs w:val="21"/>
          <w:highlight w:val="none"/>
        </w:rPr>
        <w:t>《中国招标投标公共服务平台》、</w:t>
      </w:r>
      <w:r>
        <w:rPr>
          <w:rFonts w:hint="eastAsia"/>
          <w:color w:val="auto"/>
          <w:highlight w:val="none"/>
        </w:rPr>
        <w:t>《中国采购与招标网》、</w:t>
      </w:r>
      <w:r>
        <w:rPr>
          <w:rFonts w:hint="eastAsia" w:ascii="宋体" w:hAnsi="宋体" w:cs="宋体"/>
          <w:lang w:bidi="ar"/>
        </w:rPr>
        <w:t>《阳光易招电子招标投标交易平台》</w:t>
      </w:r>
      <w:r>
        <w:rPr>
          <w:rFonts w:hint="eastAsia"/>
          <w:color w:val="auto"/>
          <w:highlight w:val="none"/>
        </w:rPr>
        <w:t>上发布。</w:t>
      </w:r>
    </w:p>
    <w:p>
      <w:pPr>
        <w:pStyle w:val="3"/>
        <w:keepNext/>
        <w:keepLines/>
        <w:pageBreakBefore w:val="0"/>
        <w:widowControl w:val="0"/>
        <w:kinsoku/>
        <w:wordWrap/>
        <w:overflowPunct/>
        <w:topLinePunct w:val="0"/>
        <w:autoSpaceDE/>
        <w:autoSpaceDN/>
        <w:bidi w:val="0"/>
        <w:adjustRightInd/>
        <w:snapToGrid/>
        <w:spacing w:line="200" w:lineRule="exact"/>
        <w:textAlignment w:val="auto"/>
        <w:rPr>
          <w:rFonts w:hint="eastAsia" w:ascii="宋体" w:hAnsi="宋体" w:eastAsia="宋体"/>
          <w:b/>
          <w:bCs/>
          <w:kern w:val="2"/>
          <w:sz w:val="28"/>
          <w:szCs w:val="22"/>
          <w:lang w:val="en-US" w:eastAsia="zh-CN" w:bidi="ar-SA"/>
        </w:rPr>
      </w:pPr>
      <w:bookmarkStart w:id="53" w:name="_Toc2102"/>
      <w:bookmarkStart w:id="54" w:name="_Toc509584167"/>
      <w:bookmarkStart w:id="55" w:name="_Toc317236962"/>
      <w:bookmarkStart w:id="56" w:name="_Toc496048478"/>
      <w:bookmarkStart w:id="57" w:name="_Toc18554"/>
      <w:bookmarkStart w:id="58" w:name="_Toc12087"/>
      <w:bookmarkStart w:id="59" w:name="_Toc4064"/>
      <w:r>
        <w:rPr>
          <w:rFonts w:hint="eastAsia" w:ascii="宋体" w:hAnsi="宋体" w:eastAsia="宋体"/>
          <w:b/>
          <w:bCs/>
          <w:kern w:val="2"/>
          <w:sz w:val="28"/>
          <w:szCs w:val="22"/>
          <w:lang w:val="en-US" w:eastAsia="zh-CN" w:bidi="ar-SA"/>
        </w:rPr>
        <w:t>8.</w:t>
      </w:r>
      <w:bookmarkEnd w:id="53"/>
      <w:bookmarkStart w:id="60" w:name="_Toc5288"/>
      <w:r>
        <w:rPr>
          <w:rFonts w:hint="eastAsia" w:ascii="宋体" w:hAnsi="宋体" w:eastAsia="宋体"/>
          <w:b/>
          <w:bCs/>
          <w:kern w:val="2"/>
          <w:sz w:val="28"/>
          <w:szCs w:val="22"/>
          <w:lang w:val="en-US" w:eastAsia="zh-CN" w:bidi="ar-SA"/>
        </w:rPr>
        <w:t>联系方式</w:t>
      </w:r>
      <w:bookmarkEnd w:id="54"/>
      <w:bookmarkEnd w:id="55"/>
      <w:bookmarkEnd w:id="56"/>
      <w:bookmarkEnd w:id="57"/>
      <w:bookmarkEnd w:id="58"/>
      <w:bookmarkEnd w:id="59"/>
      <w:bookmarkEnd w:id="60"/>
    </w:p>
    <w:bookmarkEnd w:id="35"/>
    <w:bookmarkEnd w:id="36"/>
    <w:p>
      <w:pPr>
        <w:shd w:val="clear" w:color="auto" w:fill="FFFFFF"/>
        <w:spacing w:line="360" w:lineRule="auto"/>
        <w:ind w:firstLine="437"/>
        <w:rPr>
          <w:rFonts w:hint="eastAsia"/>
          <w:color w:val="auto"/>
          <w:szCs w:val="22"/>
          <w:highlight w:val="none"/>
          <w:u w:val="single"/>
        </w:rPr>
      </w:pPr>
      <w:r>
        <w:rPr>
          <w:rFonts w:hint="eastAsia"/>
          <w:color w:val="auto"/>
          <w:szCs w:val="22"/>
          <w:highlight w:val="none"/>
          <w:u w:val="single"/>
        </w:rPr>
        <w:t>招 标 人：国网河南省电力公司三门峡市陕</w:t>
      </w:r>
      <w:bookmarkStart w:id="61" w:name="_GoBack"/>
      <w:bookmarkEnd w:id="61"/>
      <w:r>
        <w:rPr>
          <w:rFonts w:hint="eastAsia"/>
          <w:color w:val="auto"/>
          <w:szCs w:val="22"/>
          <w:highlight w:val="none"/>
          <w:u w:val="single"/>
        </w:rPr>
        <w:t xml:space="preserve">州供电公司 </w:t>
      </w:r>
    </w:p>
    <w:p>
      <w:pPr>
        <w:shd w:val="clear" w:color="auto" w:fill="FFFFFF"/>
        <w:spacing w:line="360" w:lineRule="auto"/>
        <w:ind w:firstLine="437"/>
        <w:rPr>
          <w:rFonts w:hint="eastAsia"/>
          <w:color w:val="auto"/>
          <w:szCs w:val="22"/>
          <w:highlight w:val="none"/>
          <w:u w:val="single"/>
        </w:rPr>
      </w:pPr>
      <w:r>
        <w:rPr>
          <w:rFonts w:hint="eastAsia"/>
          <w:color w:val="auto"/>
          <w:szCs w:val="22"/>
          <w:highlight w:val="none"/>
          <w:u w:val="single"/>
        </w:rPr>
        <w:t>地    址：三门峡市陕州供电公司</w:t>
      </w:r>
    </w:p>
    <w:p>
      <w:pPr>
        <w:shd w:val="clear" w:color="auto" w:fill="FFFFFF"/>
        <w:spacing w:line="360" w:lineRule="auto"/>
        <w:ind w:firstLine="437"/>
        <w:rPr>
          <w:rFonts w:hint="eastAsia"/>
          <w:color w:val="auto"/>
          <w:szCs w:val="22"/>
          <w:highlight w:val="none"/>
          <w:u w:val="single"/>
        </w:rPr>
      </w:pPr>
      <w:r>
        <w:rPr>
          <w:rFonts w:hint="eastAsia"/>
          <w:color w:val="auto"/>
          <w:szCs w:val="22"/>
          <w:highlight w:val="none"/>
          <w:u w:val="single"/>
        </w:rPr>
        <w:t>联 系 人 ：</w:t>
      </w:r>
      <w:r>
        <w:rPr>
          <w:rFonts w:hint="eastAsia"/>
          <w:color w:val="auto"/>
          <w:szCs w:val="22"/>
          <w:highlight w:val="none"/>
          <w:u w:val="single"/>
          <w:lang w:val="en-US" w:eastAsia="zh-CN"/>
        </w:rPr>
        <w:t>范</w:t>
      </w:r>
      <w:r>
        <w:rPr>
          <w:rFonts w:hint="eastAsia"/>
          <w:color w:val="auto"/>
          <w:szCs w:val="22"/>
          <w:highlight w:val="none"/>
          <w:u w:val="single"/>
        </w:rPr>
        <w:t>先生</w:t>
      </w:r>
    </w:p>
    <w:p>
      <w:pPr>
        <w:shd w:val="clear" w:color="auto" w:fill="FFFFFF"/>
        <w:spacing w:line="360" w:lineRule="auto"/>
        <w:ind w:firstLine="437"/>
        <w:rPr>
          <w:rFonts w:hint="eastAsia"/>
          <w:color w:val="auto"/>
          <w:szCs w:val="22"/>
          <w:highlight w:val="none"/>
          <w:u w:val="single"/>
        </w:rPr>
      </w:pPr>
      <w:r>
        <w:rPr>
          <w:rFonts w:hint="eastAsia"/>
          <w:color w:val="auto"/>
          <w:szCs w:val="22"/>
          <w:highlight w:val="none"/>
          <w:u w:val="single"/>
        </w:rPr>
        <w:t>电    话 ：0371</w:t>
      </w:r>
      <w:r>
        <w:rPr>
          <w:rFonts w:hint="eastAsia"/>
          <w:color w:val="auto"/>
          <w:szCs w:val="22"/>
          <w:highlight w:val="none"/>
          <w:u w:val="single"/>
          <w:lang w:val="en-US" w:eastAsia="zh-CN"/>
        </w:rPr>
        <w:t>-</w:t>
      </w:r>
      <w:r>
        <w:rPr>
          <w:rFonts w:hint="eastAsia"/>
          <w:color w:val="auto"/>
          <w:szCs w:val="22"/>
          <w:highlight w:val="none"/>
          <w:u w:val="single"/>
        </w:rPr>
        <w:t>6790361</w:t>
      </w:r>
      <w:r>
        <w:rPr>
          <w:rFonts w:hint="eastAsia"/>
          <w:color w:val="auto"/>
          <w:szCs w:val="22"/>
          <w:highlight w:val="none"/>
          <w:u w:val="single"/>
          <w:lang w:val="en-US" w:eastAsia="zh-CN"/>
        </w:rPr>
        <w:t>5</w:t>
      </w:r>
      <w:r>
        <w:rPr>
          <w:rFonts w:hint="eastAsia"/>
          <w:color w:val="auto"/>
          <w:szCs w:val="22"/>
          <w:highlight w:val="none"/>
          <w:u w:val="single"/>
        </w:rPr>
        <w:t xml:space="preserve"> </w:t>
      </w:r>
    </w:p>
    <w:p>
      <w:pPr>
        <w:shd w:val="clear" w:color="auto" w:fill="FFFFFF"/>
        <w:spacing w:line="360" w:lineRule="auto"/>
        <w:ind w:firstLine="437"/>
        <w:rPr>
          <w:rFonts w:hint="eastAsia"/>
          <w:color w:val="auto"/>
          <w:szCs w:val="22"/>
          <w:highlight w:val="none"/>
          <w:u w:val="single"/>
        </w:rPr>
      </w:pPr>
      <w:r>
        <w:rPr>
          <w:rFonts w:hint="eastAsia"/>
          <w:color w:val="auto"/>
          <w:szCs w:val="22"/>
          <w:highlight w:val="none"/>
          <w:u w:val="single"/>
        </w:rPr>
        <w:t>招标代理机构：河南省伟信招标管理咨询有限公司</w:t>
      </w:r>
    </w:p>
    <w:p>
      <w:pPr>
        <w:shd w:val="clear" w:color="auto" w:fill="FFFFFF"/>
        <w:spacing w:line="360" w:lineRule="auto"/>
        <w:ind w:firstLine="437"/>
        <w:rPr>
          <w:rFonts w:hint="eastAsia"/>
          <w:color w:val="auto"/>
          <w:szCs w:val="22"/>
          <w:highlight w:val="none"/>
          <w:u w:val="single"/>
        </w:rPr>
      </w:pPr>
      <w:r>
        <w:rPr>
          <w:rFonts w:hint="eastAsia"/>
          <w:color w:val="auto"/>
          <w:szCs w:val="22"/>
          <w:highlight w:val="none"/>
          <w:u w:val="single"/>
        </w:rPr>
        <w:t xml:space="preserve">地    址：郑州市郑东新区东风南路与创业路交汇处西南角绿地中心双子塔北塔16楼 </w:t>
      </w:r>
    </w:p>
    <w:p>
      <w:pPr>
        <w:shd w:val="clear" w:color="auto" w:fill="FFFFFF"/>
        <w:spacing w:line="360" w:lineRule="auto"/>
        <w:ind w:firstLine="437"/>
        <w:rPr>
          <w:rFonts w:hint="eastAsia"/>
          <w:color w:val="auto"/>
          <w:szCs w:val="22"/>
          <w:highlight w:val="none"/>
          <w:u w:val="single"/>
        </w:rPr>
      </w:pPr>
      <w:r>
        <w:rPr>
          <w:rFonts w:hint="eastAsia"/>
          <w:color w:val="auto"/>
          <w:szCs w:val="22"/>
          <w:highlight w:val="none"/>
          <w:u w:val="single"/>
        </w:rPr>
        <w:t>联 系 人：贺先生、张先生</w:t>
      </w:r>
    </w:p>
    <w:p>
      <w:pPr>
        <w:shd w:val="clear" w:color="auto" w:fill="FFFFFF"/>
        <w:spacing w:line="360" w:lineRule="auto"/>
        <w:ind w:firstLine="437"/>
        <w:rPr>
          <w:rFonts w:hint="eastAsia"/>
          <w:color w:val="auto"/>
          <w:szCs w:val="22"/>
          <w:highlight w:val="none"/>
          <w:u w:val="single"/>
        </w:rPr>
      </w:pPr>
      <w:r>
        <w:rPr>
          <w:rFonts w:hint="eastAsia"/>
          <w:color w:val="auto"/>
          <w:szCs w:val="22"/>
          <w:highlight w:val="none"/>
          <w:u w:val="single"/>
        </w:rPr>
        <w:t>电    话：0371-65359921、18137177926</w:t>
      </w:r>
    </w:p>
    <w:p>
      <w:pPr>
        <w:shd w:val="clear" w:color="auto" w:fill="FFFFFF"/>
        <w:spacing w:line="360" w:lineRule="auto"/>
        <w:ind w:firstLine="437"/>
        <w:rPr>
          <w:rFonts w:hint="eastAsia"/>
          <w:color w:val="auto"/>
          <w:szCs w:val="22"/>
          <w:highlight w:val="none"/>
          <w:u w:val="single"/>
        </w:rPr>
      </w:pPr>
      <w:r>
        <w:rPr>
          <w:rFonts w:hint="eastAsia"/>
          <w:color w:val="auto"/>
          <w:szCs w:val="22"/>
          <w:highlight w:val="none"/>
          <w:u w:val="single"/>
        </w:rPr>
        <w:t>传    真：0371-65997388</w:t>
      </w:r>
    </w:p>
    <w:p>
      <w:pPr>
        <w:shd w:val="clear" w:color="auto" w:fill="FFFFFF"/>
        <w:spacing w:line="360" w:lineRule="auto"/>
        <w:ind w:firstLine="437"/>
        <w:rPr>
          <w:rFonts w:hint="eastAsia"/>
          <w:color w:val="auto"/>
          <w:szCs w:val="22"/>
          <w:highlight w:val="none"/>
          <w:u w:val="single"/>
        </w:rPr>
      </w:pPr>
      <w:r>
        <w:rPr>
          <w:rFonts w:hint="eastAsia"/>
          <w:color w:val="auto"/>
          <w:szCs w:val="22"/>
          <w:highlight w:val="none"/>
          <w:u w:val="single"/>
        </w:rPr>
        <w:t>电子邮件：hnwxzb@yeah.net</w:t>
      </w:r>
    </w:p>
    <w:p>
      <w:pPr>
        <w:shd w:val="clear" w:color="auto" w:fill="FFFFFF"/>
        <w:spacing w:line="360" w:lineRule="auto"/>
        <w:ind w:firstLine="437"/>
        <w:rPr>
          <w:rFonts w:hint="eastAsia"/>
          <w:color w:val="auto"/>
          <w:szCs w:val="22"/>
          <w:highlight w:val="none"/>
          <w:u w:val="single"/>
        </w:rPr>
      </w:pPr>
      <w:r>
        <w:rPr>
          <w:rFonts w:hint="eastAsia"/>
          <w:color w:val="auto"/>
          <w:szCs w:val="22"/>
          <w:highlight w:val="none"/>
          <w:u w:val="single"/>
        </w:rPr>
        <w:t xml:space="preserve">网    址：www.hnwxzb.com </w:t>
      </w:r>
    </w:p>
    <w:p>
      <w:pPr>
        <w:jc w:val="right"/>
        <w:rPr>
          <w:color w:val="auto"/>
          <w:highlight w:val="none"/>
        </w:rPr>
      </w:pPr>
      <w:r>
        <w:rPr>
          <w:rFonts w:hint="eastAsia"/>
          <w:color w:val="auto"/>
          <w:highlight w:val="none"/>
        </w:rPr>
        <w:t>201</w:t>
      </w:r>
      <w:r>
        <w:rPr>
          <w:rFonts w:hint="eastAsia"/>
          <w:color w:val="auto"/>
          <w:highlight w:val="none"/>
          <w:lang w:val="en-US" w:eastAsia="zh-CN"/>
        </w:rPr>
        <w:t>9</w:t>
      </w:r>
      <w:r>
        <w:rPr>
          <w:rFonts w:hint="eastAsia"/>
          <w:color w:val="auto"/>
          <w:highlight w:val="none"/>
        </w:rPr>
        <w:t>年</w:t>
      </w:r>
      <w:r>
        <w:rPr>
          <w:rFonts w:hint="eastAsia"/>
          <w:color w:val="auto"/>
          <w:highlight w:val="none"/>
          <w:lang w:val="en-US" w:eastAsia="zh-CN"/>
        </w:rPr>
        <w:t>11</w:t>
      </w:r>
      <w:r>
        <w:rPr>
          <w:rFonts w:hint="eastAsia"/>
          <w:color w:val="auto"/>
          <w:highlight w:val="none"/>
        </w:rPr>
        <w:t>月</w:t>
      </w:r>
      <w:r>
        <w:rPr>
          <w:rFonts w:hint="eastAsia"/>
          <w:color w:val="auto"/>
          <w:highlight w:val="none"/>
          <w:lang w:val="en-US" w:eastAsia="zh-CN"/>
        </w:rPr>
        <w:t>11</w:t>
      </w:r>
      <w:r>
        <w:rPr>
          <w:rFonts w:hint="eastAsia"/>
          <w:color w:val="auto"/>
          <w:highlight w:val="none"/>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1D728E"/>
    <w:rsid w:val="09FC3002"/>
    <w:rsid w:val="13D14E9F"/>
    <w:rsid w:val="18B666B3"/>
    <w:rsid w:val="1BA96152"/>
    <w:rsid w:val="2E1D728E"/>
    <w:rsid w:val="342F2091"/>
    <w:rsid w:val="3EEE36A3"/>
    <w:rsid w:val="439E70B5"/>
    <w:rsid w:val="64AB34C5"/>
    <w:rsid w:val="698E3E65"/>
    <w:rsid w:val="69A27E99"/>
    <w:rsid w:val="6D8A0443"/>
    <w:rsid w:val="6F053804"/>
    <w:rsid w:val="7ADD63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2">
    <w:name w:val="heading 2"/>
    <w:basedOn w:val="1"/>
    <w:next w:val="1"/>
    <w:qFormat/>
    <w:uiPriority w:val="99"/>
    <w:pPr>
      <w:keepNext/>
      <w:keepLines/>
      <w:spacing w:before="260" w:beforeLines="0" w:beforeAutospacing="0" w:after="260" w:afterLines="0" w:afterAutospacing="0" w:line="413" w:lineRule="auto"/>
      <w:outlineLvl w:val="1"/>
    </w:pPr>
    <w:rPr>
      <w:rFonts w:ascii="Cambria" w:hAnsi="Cambria"/>
      <w:b/>
      <w:sz w:val="32"/>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character" w:styleId="6">
    <w:name w:val="FollowedHyperlink"/>
    <w:basedOn w:val="5"/>
    <w:uiPriority w:val="0"/>
    <w:rPr>
      <w:color w:val="E66D02"/>
      <w:u w:val="none"/>
    </w:rPr>
  </w:style>
  <w:style w:type="character" w:styleId="7">
    <w:name w:val="Hyperlink"/>
    <w:basedOn w:val="5"/>
    <w:uiPriority w:val="0"/>
    <w:rPr>
      <w:color w:val="333333"/>
      <w:u w:val="none"/>
    </w:rPr>
  </w:style>
  <w:style w:type="character" w:styleId="8">
    <w:name w:val="HTML Code"/>
    <w:basedOn w:val="5"/>
    <w:uiPriority w:val="0"/>
    <w:rPr>
      <w:rFonts w:ascii="Courier New" w:hAnsi="Courier New"/>
      <w:sz w:val="20"/>
    </w:rPr>
  </w:style>
  <w:style w:type="paragraph" w:customStyle="1" w:styleId="9">
    <w:name w:val="样式 标题 2 + Times New Roman 四号 非加粗 段前: 5 磅 段后: 0 磅 行距: 固定值 20..."/>
    <w:basedOn w:val="2"/>
    <w:next w:val="1"/>
    <w:qFormat/>
    <w:uiPriority w:val="0"/>
    <w:pPr>
      <w:spacing w:before="100" w:beforeLines="0" w:beforeAutospacing="0" w:after="0" w:afterLines="0" w:afterAutospacing="0" w:line="400" w:lineRule="exact"/>
    </w:pPr>
    <w:rPr>
      <w:rFonts w:ascii="Times New Roman" w:hAnsi="Times New Roman" w:eastAsia="黑体"/>
      <w:b w:val="0"/>
      <w:sz w:val="28"/>
    </w:rPr>
  </w:style>
  <w:style w:type="paragraph" w:customStyle="1" w:styleId="10">
    <w:name w:val="p0"/>
    <w:basedOn w:val="1"/>
    <w:uiPriority w:val="0"/>
    <w:pPr>
      <w:widowControl/>
    </w:pPr>
    <w:rPr>
      <w:kern w:val="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2019-11-07T03:14:00Z</dcterms:created>
  <dc:creator>张HuangHuang</dc:creator>
  <cp:lastModifiedBy>张HuangHuang</cp:lastModifiedBy>
  <dcterms:modified xsi:type="dcterms:W3CDTF">2019-11-11T09:36:16Z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