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项目编号：ZMD2020-WX2020-216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</w:p>
    <w:p>
      <w:pPr>
        <w:ind w:left="1960" w:hanging="1960" w:hangingChars="7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项目名称：驻马店高铁西广场项目</w:t>
      </w:r>
      <w:r>
        <w:rPr>
          <w:rFonts w:hint="eastAsia" w:ascii="黑体" w:hAnsi="黑体" w:eastAsia="黑体"/>
          <w:sz w:val="28"/>
          <w:szCs w:val="28"/>
          <w:lang w:eastAsia="zh-CN"/>
        </w:rPr>
        <w:t>开源大道南侧两条支路工程</w:t>
      </w:r>
      <w:r>
        <w:rPr>
          <w:rFonts w:hint="eastAsia" w:ascii="黑体" w:hAnsi="黑体" w:eastAsia="黑体"/>
          <w:sz w:val="28"/>
          <w:szCs w:val="28"/>
        </w:rPr>
        <w:t>造价咨询服务项目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驻马店市建诚工程咨询有限公司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驻马店市纬一路广安大厦13楼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40700.00元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名称：驻马店高铁西广场项目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开源大道南侧两条支路工程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造价咨询服务项目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服务范围：负责驻马店高铁西广场项目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开源大道南侧两条支路工程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的工程量清单、招标控制价的编制审核,工程款支付审核，签证变更审核,工程竣工结算审核等工作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服务时间：自签订合同之日起至本项目竣工结算审查完毕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刘雪云、张二萍、张慧青、刘景祥、马晟文</w:t>
      </w:r>
      <w:bookmarkStart w:id="14" w:name="_GoBack"/>
      <w:bookmarkEnd w:id="14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根据《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发布的开源大道南侧两条支路勘察设计、造价咨询、施工、监理选择招标代理机构竞争性磋商结果公告签订合同，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按照甲乙双方签订的合同金额，由委托人支付。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宋体"/>
          <w:kern w:val="0"/>
          <w:sz w:val="28"/>
          <w:szCs w:val="28"/>
        </w:rPr>
        <w:t>《驻马店市公共资源交易中心网站》、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驻马店市政府采购网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网站公示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各有关供应商对评标结果有异议的，可以在中标公告发布之日起七个工作日内，以书面形式同时向采购人和采购代理机构提出质疑，质疑书应明确阐述使自己合法权益受到损害的实质性内容，提供相关事实、依据和证据及其来源或线索，否则不予受理(法人代表签字盖章并加盖单位公章)，由法定代表人或其授权代表携带本人身份证件（原件）一并提交（邮寄、传真件不予受理）。逾期未提交或未按照要求提交的质疑函将不予受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驻马店市同晟新城区建设有限公司　</w:t>
      </w:r>
    </w:p>
    <w:p>
      <w:pPr>
        <w:spacing w:line="360" w:lineRule="auto"/>
        <w:ind w:left="2249" w:leftChars="371" w:hanging="1470" w:hangingChars="5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驻马店市通达路文明路交叉口翡翠100写字楼东单元10层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0396-3508893　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河南省伟信招标管理咨询有限公司　</w:t>
      </w:r>
    </w:p>
    <w:p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河南自贸试验区郑州片区（郑东）东风南路创业路绿地中心北塔17楼1703室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0371-65837988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王   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  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0396-3508893 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37D9"/>
    <w:rsid w:val="01632365"/>
    <w:rsid w:val="043503D0"/>
    <w:rsid w:val="074F37D9"/>
    <w:rsid w:val="0CF320CF"/>
    <w:rsid w:val="16CD3305"/>
    <w:rsid w:val="19264E93"/>
    <w:rsid w:val="422B4B7F"/>
    <w:rsid w:val="57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3">
    <w:name w:val="Body Text 2"/>
    <w:basedOn w:val="1"/>
    <w:next w:val="2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2021-01-28T06:47:00Z</dcterms:created>
  <dc:creator>Y L</dc:creator>
  <cp:lastModifiedBy>Administrator</cp:lastModifiedBy>
  <dcterms:modified xsi:type="dcterms:W3CDTF">2021-01-29T04:52:33Z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