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1CED7" w14:textId="6E7A17A7" w:rsidR="00FB3BBB" w:rsidRPr="00DA46E5" w:rsidRDefault="00B82A21">
      <w:pPr>
        <w:jc w:val="center"/>
        <w:rPr>
          <w:rFonts w:ascii="华文中宋" w:eastAsia="华文中宋" w:hAnsi="华文中宋"/>
          <w:b/>
          <w:color w:val="000000" w:themeColor="text1"/>
          <w:sz w:val="36"/>
          <w:szCs w:val="36"/>
        </w:rPr>
      </w:pPr>
      <w:r w:rsidRPr="00DA46E5">
        <w:rPr>
          <w:rFonts w:ascii="华文中宋" w:eastAsia="华文中宋" w:hAnsi="华文中宋" w:hint="eastAsia"/>
          <w:b/>
          <w:color w:val="000000" w:themeColor="text1"/>
          <w:sz w:val="36"/>
          <w:szCs w:val="36"/>
        </w:rPr>
        <w:t>招标控制价</w:t>
      </w:r>
      <w:r w:rsidR="00CF507A" w:rsidRPr="00DA46E5">
        <w:rPr>
          <w:rFonts w:ascii="华文中宋" w:eastAsia="华文中宋" w:hAnsi="华文中宋" w:hint="eastAsia"/>
          <w:b/>
          <w:color w:val="000000" w:themeColor="text1"/>
          <w:sz w:val="36"/>
          <w:szCs w:val="36"/>
        </w:rPr>
        <w:t>编制</w:t>
      </w:r>
      <w:r w:rsidR="00CF507A" w:rsidRPr="00DA46E5">
        <w:rPr>
          <w:rFonts w:ascii="华文中宋" w:eastAsia="华文中宋" w:hAnsi="华文中宋"/>
          <w:b/>
          <w:color w:val="000000" w:themeColor="text1"/>
          <w:sz w:val="36"/>
          <w:szCs w:val="36"/>
        </w:rPr>
        <w:t>说明</w:t>
      </w:r>
    </w:p>
    <w:p w14:paraId="656B6388" w14:textId="77777777" w:rsidR="00A04237" w:rsidRPr="00DA46E5" w:rsidRDefault="00A04237" w:rsidP="00A04237">
      <w:pPr>
        <w:numPr>
          <w:ilvl w:val="0"/>
          <w:numId w:val="1"/>
        </w:numPr>
        <w:adjustRightInd w:val="0"/>
        <w:snapToGrid w:val="0"/>
        <w:spacing w:beforeLines="100" w:before="312" w:line="440" w:lineRule="exact"/>
        <w:ind w:left="0" w:firstLine="0"/>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工程概况</w:t>
      </w:r>
    </w:p>
    <w:p w14:paraId="3C322AC3" w14:textId="66A61527" w:rsidR="00787059" w:rsidRPr="00DA46E5" w:rsidRDefault="00787059" w:rsidP="00044600">
      <w:pPr>
        <w:widowControl/>
        <w:numPr>
          <w:ilvl w:val="2"/>
          <w:numId w:val="2"/>
        </w:numPr>
        <w:adjustRightInd w:val="0"/>
        <w:snapToGrid w:val="0"/>
        <w:spacing w:line="500" w:lineRule="exact"/>
        <w:ind w:left="0"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工程名称：</w:t>
      </w:r>
      <w:r w:rsidR="00044600" w:rsidRPr="00DA46E5">
        <w:rPr>
          <w:rFonts w:asciiTheme="minorEastAsia" w:hAnsiTheme="minorEastAsia" w:hint="eastAsia"/>
          <w:color w:val="000000" w:themeColor="text1"/>
          <w:szCs w:val="21"/>
        </w:rPr>
        <w:t>2020年固定资产投资工程建设指挥部负责采购项目集团办公楼弱电灾备机房改造工程</w:t>
      </w:r>
    </w:p>
    <w:p w14:paraId="6B9F5C78" w14:textId="77777777" w:rsidR="00787059" w:rsidRPr="00DA46E5" w:rsidRDefault="00787059" w:rsidP="00787059">
      <w:pPr>
        <w:widowControl/>
        <w:numPr>
          <w:ilvl w:val="2"/>
          <w:numId w:val="2"/>
        </w:numPr>
        <w:adjustRightInd w:val="0"/>
        <w:snapToGrid w:val="0"/>
        <w:spacing w:line="500" w:lineRule="exact"/>
        <w:ind w:left="0"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建设单位：河南省机场集团有限公司</w:t>
      </w:r>
    </w:p>
    <w:p w14:paraId="5BAB5B6E" w14:textId="77777777" w:rsidR="00787059" w:rsidRPr="00DA46E5" w:rsidRDefault="00787059" w:rsidP="00787059">
      <w:pPr>
        <w:widowControl/>
        <w:numPr>
          <w:ilvl w:val="2"/>
          <w:numId w:val="2"/>
        </w:numPr>
        <w:adjustRightInd w:val="0"/>
        <w:snapToGrid w:val="0"/>
        <w:spacing w:line="500" w:lineRule="exact"/>
        <w:ind w:left="0"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工程概况：如下</w:t>
      </w:r>
      <w:r w:rsidRPr="00DA46E5">
        <w:rPr>
          <w:rFonts w:asciiTheme="minorEastAsia" w:hAnsiTheme="minorEastAsia"/>
          <w:color w:val="000000" w:themeColor="text1"/>
          <w:szCs w:val="21"/>
        </w:rPr>
        <w:t>：</w:t>
      </w:r>
    </w:p>
    <w:p w14:paraId="01A4CD6E" w14:textId="77777777" w:rsidR="005E6193" w:rsidRPr="00DA46E5" w:rsidRDefault="005E6193" w:rsidP="005E6193">
      <w:pPr>
        <w:widowControl/>
        <w:numPr>
          <w:ilvl w:val="2"/>
          <w:numId w:val="12"/>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系统概况</w:t>
      </w:r>
    </w:p>
    <w:p w14:paraId="2A69ABCF" w14:textId="77777777"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UPS配电系统主要为集团办公楼西配楼三楼弱电灾备机房的信息弱电设备提供一套优质可靠的电源，UPS电源进线采用两路不同市电供电。UPS电源在电网正常时能够给负载提供高质量的交流电源，在电网异常时将后备电池组的直流能量转化为稳定的交流电源供给负载设备使用，并且在电网掉电过程中与静态旁路切换时可以做到供电无间断，确保负载的安全运行。UPS电源除了可以解决上述的交流供电中断的影响外，还可以消除正常交流电网供电中的各种高频杂波、电压浪涌、陷落、瞬间断电等电力干扰对信息设备的危害，向负载提供稳压精度高、稳频、波形失真度小的高质量电源，以确保信息弱电系统安全稳定运行。</w:t>
      </w:r>
    </w:p>
    <w:p w14:paraId="32F0FC8B" w14:textId="77777777" w:rsidR="005E6193" w:rsidRPr="00DA46E5" w:rsidRDefault="005E6193" w:rsidP="005E6193">
      <w:pPr>
        <w:widowControl/>
        <w:numPr>
          <w:ilvl w:val="2"/>
          <w:numId w:val="12"/>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实施范围</w:t>
      </w:r>
    </w:p>
    <w:p w14:paraId="62152564" w14:textId="77777777" w:rsidR="005E6193" w:rsidRPr="00DA46E5" w:rsidRDefault="005E6193" w:rsidP="005E6193">
      <w:pPr>
        <w:widowControl/>
        <w:numPr>
          <w:ilvl w:val="2"/>
          <w:numId w:val="13"/>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UPS电源系统：</w:t>
      </w:r>
    </w:p>
    <w:p w14:paraId="60485B0F" w14:textId="47E1C03B"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新增两台200KVA UPS电源主机，采用单机双母线运行模式（详见设计图纸），安装配套高功率铅酸蓄电池组，单机满负载运行所需后备时长≥</w:t>
      </w:r>
      <w:r w:rsidR="00D179D8">
        <w:rPr>
          <w:rFonts w:ascii="宋体" w:eastAsia="宋体" w:hAnsi="宋体" w:cs="宋体"/>
          <w:color w:val="000000" w:themeColor="text1"/>
        </w:rPr>
        <w:t>15</w:t>
      </w:r>
      <w:bookmarkStart w:id="0" w:name="_GoBack"/>
      <w:bookmarkEnd w:id="0"/>
      <w:r w:rsidRPr="00DA46E5">
        <w:rPr>
          <w:rFonts w:ascii="宋体" w:eastAsia="宋体" w:hAnsi="宋体" w:cs="宋体" w:hint="eastAsia"/>
          <w:color w:val="000000" w:themeColor="text1"/>
        </w:rPr>
        <w:t>分钟（含配套直流电池开关箱、电池连接线、电源主机及电池组承重支架等辅材）。</w:t>
      </w:r>
    </w:p>
    <w:p w14:paraId="52DA3BFE" w14:textId="77777777" w:rsidR="005E6193" w:rsidRPr="00DA46E5" w:rsidRDefault="005E6193" w:rsidP="005E6193">
      <w:pPr>
        <w:widowControl/>
        <w:numPr>
          <w:ilvl w:val="2"/>
          <w:numId w:val="13"/>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配电系统：</w:t>
      </w:r>
    </w:p>
    <w:p w14:paraId="193C6E8B" w14:textId="77777777"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上游市电输入——根据现场UPS电源运行模式，从集团办公楼主楼1#低压配电室内1AA106、1AA206配电柜400A抽屉开关各一处（含端接）分别引出2根（4×185+1×95）低烟无卤阻燃电源线经室内水平部分（原上进上出）强电桥架利旧使用</w:t>
      </w:r>
      <w:r w:rsidRPr="00DA46E5">
        <w:rPr>
          <w:rFonts w:ascii="Batang" w:eastAsia="Batang" w:hAnsi="Batang" w:cs="Batang" w:hint="eastAsia"/>
          <w:color w:val="000000" w:themeColor="text1"/>
        </w:rPr>
        <w:t>↔</w:t>
      </w:r>
      <w:r w:rsidRPr="00DA46E5">
        <w:rPr>
          <w:rFonts w:ascii="宋体" w:eastAsia="宋体" w:hAnsi="宋体" w:cs="宋体" w:hint="eastAsia"/>
          <w:color w:val="000000" w:themeColor="text1"/>
        </w:rPr>
        <w:t>垂直部分需新敷设路由强电桥架</w:t>
      </w:r>
      <w:r w:rsidRPr="00DA46E5">
        <w:rPr>
          <w:rFonts w:ascii="Batang" w:eastAsia="Batang" w:hAnsi="Batang" w:cs="Batang" w:hint="eastAsia"/>
          <w:color w:val="000000" w:themeColor="text1"/>
        </w:rPr>
        <w:t>↔</w:t>
      </w:r>
      <w:r w:rsidRPr="00DA46E5">
        <w:rPr>
          <w:rFonts w:ascii="宋体" w:eastAsia="宋体" w:hAnsi="宋体" w:cs="宋体" w:hint="eastAsia"/>
          <w:color w:val="000000" w:themeColor="text1"/>
        </w:rPr>
        <w:t>西配楼1F UPS间内新增2套接电箱（内置汇流排）</w:t>
      </w:r>
      <w:r w:rsidRPr="00DA46E5">
        <w:rPr>
          <w:rFonts w:ascii="Batang" w:eastAsia="Batang" w:hAnsi="Batang" w:cs="Batang" w:hint="eastAsia"/>
          <w:color w:val="000000" w:themeColor="text1"/>
        </w:rPr>
        <w:t>↔</w:t>
      </w:r>
      <w:r w:rsidRPr="00DA46E5">
        <w:rPr>
          <w:rFonts w:ascii="宋体" w:eastAsia="宋体" w:hAnsi="宋体" w:cs="宋体" w:hint="eastAsia"/>
          <w:color w:val="000000" w:themeColor="text1"/>
        </w:rPr>
        <w:t>UPS输入柜（内置ATS、各回路断路器、智能仪表等元器件）；下游输出——替换现用UPS输出一、二级配电柜（AU-1-UPS1、AU-1-UPS2、AU-3-RD1、AU-3-RD2）内160A断路器为400A/36KA/3P/320A，替换现用输出电缆为2根（4×150+1×70）低烟无卤阻燃电源线，UPS输出端的路由桥架、一二级</w:t>
      </w:r>
      <w:r w:rsidRPr="00DA46E5">
        <w:rPr>
          <w:rFonts w:ascii="宋体" w:eastAsia="宋体" w:hAnsi="宋体" w:cs="宋体" w:hint="eastAsia"/>
          <w:color w:val="000000" w:themeColor="text1"/>
        </w:rPr>
        <w:lastRenderedPageBreak/>
        <w:t>配电柜及柜内其它配套元器件均利旧使用。新增路由桥架及替换电缆途径所需的穿墙打洞、防火封堵、标识标牌等配套作业亦由投标人负责实施。</w:t>
      </w:r>
    </w:p>
    <w:p w14:paraId="3E699A38" w14:textId="77777777" w:rsidR="005E6193" w:rsidRPr="00DA46E5" w:rsidRDefault="005E6193" w:rsidP="005E6193">
      <w:pPr>
        <w:widowControl/>
        <w:numPr>
          <w:ilvl w:val="2"/>
          <w:numId w:val="13"/>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UPS间改造：</w:t>
      </w:r>
    </w:p>
    <w:p w14:paraId="744E3A5F" w14:textId="77777777"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根据设计平面图中设备摆放位置布局的调整，投标人须对原有UPS电源设备（含铅酸电池组）、原市电配电柜AT-1-UPS2及配套电源桥架进行拆除，并按招标人要求运输至指定位置，做好搬运期间设施设备保护措施。原市电配电柜AT-1-UPS1保留改造为室内精密空调专用输入柜，原AT-1-UPS2柜内供精密空调02单一回路使用的空开迁移安装至AT-1-UPS1柜内利旧使用，两台精密空调配套使用的供电线缆须适配房间布局和新敷设的电源桥架调整原布线方式，投标人须负责对室内电源桥架、防静电地板、保温层、接地铜排进行改造更换，注重UPS间内未涉及改造部分的成品保护，室内精密空调、动环监控系统终端数据采集设备要求利旧使用且对新增设备实现统一纳管。</w:t>
      </w:r>
    </w:p>
    <w:p w14:paraId="78223B28" w14:textId="77777777" w:rsidR="005E6193" w:rsidRPr="00DA46E5" w:rsidRDefault="005E6193" w:rsidP="005E6193">
      <w:pPr>
        <w:widowControl/>
        <w:numPr>
          <w:ilvl w:val="2"/>
          <w:numId w:val="12"/>
        </w:numPr>
        <w:adjustRightInd w:val="0"/>
        <w:snapToGrid w:val="0"/>
        <w:spacing w:line="500" w:lineRule="exact"/>
        <w:ind w:left="0" w:firstLineChars="200" w:firstLine="422"/>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工作内容</w:t>
      </w:r>
    </w:p>
    <w:p w14:paraId="5444560E" w14:textId="77777777" w:rsidR="005E6193" w:rsidRPr="00DA46E5" w:rsidRDefault="005E6193" w:rsidP="005E6193">
      <w:pPr>
        <w:adjustRightInd w:val="0"/>
        <w:snapToGrid w:val="0"/>
        <w:spacing w:line="500" w:lineRule="exact"/>
        <w:ind w:firstLineChars="200" w:firstLine="420"/>
        <w:rPr>
          <w:rFonts w:ascii="宋体" w:eastAsia="宋体" w:hAnsi="宋体" w:cs="宋体"/>
          <w:color w:val="000000" w:themeColor="text1"/>
        </w:rPr>
      </w:pPr>
      <w:r w:rsidRPr="00DA46E5">
        <w:rPr>
          <w:rFonts w:ascii="宋体" w:eastAsia="宋体" w:hAnsi="宋体" w:cs="宋体" w:hint="eastAsia"/>
          <w:color w:val="000000" w:themeColor="text1"/>
        </w:rPr>
        <w:t>投标人必须按照本技术规格书的要求在规定的项目进度计划期限内完成以下工作内容：</w:t>
      </w:r>
    </w:p>
    <w:p w14:paraId="5CA63FE9"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为满足系统完整性需完成二次深化设计包含但不限于：各类线材的实测长度，接电箱内铜排/汇流排安装、端接方式，UPS间内各配电柜（箱）设备规格尺寸、安装位置、内部元器件安装空间及配套桥架/线槽的敷设；</w:t>
      </w:r>
    </w:p>
    <w:p w14:paraId="70EEABE7"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设备与材料的制造供应及其运输、包装、仓储；</w:t>
      </w:r>
    </w:p>
    <w:p w14:paraId="0F45AA17"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各系统设备的配置、初始化设置、调试和测试；</w:t>
      </w:r>
    </w:p>
    <w:p w14:paraId="7E9B00DB"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项目正式验收移交招标人之前的试运行和系统维护；</w:t>
      </w:r>
    </w:p>
    <w:p w14:paraId="1B7CBCDC"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系统的技术培训和各子系统验收移交后的技术服务与支持；</w:t>
      </w:r>
    </w:p>
    <w:p w14:paraId="1B65FB99"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编制</w:t>
      </w:r>
      <w:r w:rsidRPr="00DA46E5">
        <w:rPr>
          <w:rFonts w:ascii="宋体" w:eastAsia="宋体" w:hAnsi="宋体" w:cs="宋体"/>
          <w:color w:val="000000" w:themeColor="text1"/>
        </w:rPr>
        <w:t>集团办公楼弱电灾备机房改造项目</w:t>
      </w:r>
      <w:r w:rsidRPr="00DA46E5">
        <w:rPr>
          <w:rFonts w:ascii="宋体" w:eastAsia="宋体" w:hAnsi="宋体" w:cs="宋体" w:hint="eastAsia"/>
          <w:color w:val="000000" w:themeColor="text1"/>
        </w:rPr>
        <w:t>的竣工图及竣工资料；</w:t>
      </w:r>
    </w:p>
    <w:p w14:paraId="3271CE7C" w14:textId="77777777" w:rsidR="005E6193" w:rsidRPr="00DA46E5" w:rsidRDefault="005E6193" w:rsidP="005E6193">
      <w:pPr>
        <w:pStyle w:val="a9"/>
        <w:numPr>
          <w:ilvl w:val="0"/>
          <w:numId w:val="14"/>
        </w:numPr>
        <w:adjustRightInd w:val="0"/>
        <w:snapToGrid w:val="0"/>
        <w:spacing w:line="500" w:lineRule="exact"/>
        <w:ind w:left="0" w:firstLine="420"/>
        <w:rPr>
          <w:rFonts w:ascii="宋体" w:eastAsia="宋体" w:hAnsi="宋体" w:cs="宋体"/>
          <w:color w:val="000000" w:themeColor="text1"/>
        </w:rPr>
      </w:pPr>
      <w:r w:rsidRPr="00DA46E5">
        <w:rPr>
          <w:rFonts w:ascii="宋体" w:eastAsia="宋体" w:hAnsi="宋体" w:cs="宋体" w:hint="eastAsia"/>
          <w:color w:val="000000" w:themeColor="text1"/>
        </w:rPr>
        <w:t>上述工作所需的附件、工具、备品、备件、资料、档案的提供。</w:t>
      </w:r>
    </w:p>
    <w:p w14:paraId="60976ADC" w14:textId="77777777" w:rsidR="00A04237" w:rsidRPr="00DA46E5" w:rsidRDefault="00A04237" w:rsidP="00A04237">
      <w:pPr>
        <w:numPr>
          <w:ilvl w:val="0"/>
          <w:numId w:val="1"/>
        </w:numPr>
        <w:adjustRightInd w:val="0"/>
        <w:snapToGrid w:val="0"/>
        <w:spacing w:beforeLines="100" w:before="312" w:line="440" w:lineRule="exact"/>
        <w:ind w:left="0" w:firstLine="0"/>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编制范围及</w:t>
      </w:r>
      <w:r w:rsidRPr="00DA46E5">
        <w:rPr>
          <w:rFonts w:asciiTheme="minorEastAsia" w:hAnsiTheme="minorEastAsia"/>
          <w:b/>
          <w:color w:val="000000" w:themeColor="text1"/>
          <w:szCs w:val="21"/>
        </w:rPr>
        <w:t>计算界限</w:t>
      </w:r>
    </w:p>
    <w:p w14:paraId="41F6930C" w14:textId="1E284F55" w:rsidR="001A19C1" w:rsidRPr="00DA46E5" w:rsidRDefault="001A19C1" w:rsidP="001A19C1">
      <w:pPr>
        <w:widowControl/>
        <w:adjustRightInd w:val="0"/>
        <w:snapToGrid w:val="0"/>
        <w:spacing w:line="500" w:lineRule="exact"/>
        <w:ind w:firstLineChars="200" w:firstLine="420"/>
        <w:rPr>
          <w:rFonts w:ascii="宋体" w:hAnsi="宋体"/>
          <w:color w:val="000000" w:themeColor="text1"/>
          <w:szCs w:val="21"/>
        </w:rPr>
      </w:pPr>
      <w:r w:rsidRPr="00DA46E5">
        <w:rPr>
          <w:rFonts w:asciiTheme="minorEastAsia" w:hAnsiTheme="minorEastAsia" w:hint="eastAsia"/>
          <w:color w:val="000000" w:themeColor="text1"/>
          <w:szCs w:val="21"/>
        </w:rPr>
        <w:t>施工图纸</w:t>
      </w:r>
      <w:r w:rsidRPr="00DA46E5">
        <w:rPr>
          <w:rFonts w:asciiTheme="minorEastAsia" w:hAnsiTheme="minorEastAsia"/>
          <w:color w:val="000000" w:themeColor="text1"/>
          <w:szCs w:val="21"/>
        </w:rPr>
        <w:t>设计的所有内容。</w:t>
      </w:r>
    </w:p>
    <w:p w14:paraId="1D688121" w14:textId="77777777" w:rsidR="001370A5" w:rsidRPr="00DA46E5" w:rsidRDefault="001370A5" w:rsidP="001370A5">
      <w:pPr>
        <w:numPr>
          <w:ilvl w:val="0"/>
          <w:numId w:val="1"/>
        </w:numPr>
        <w:adjustRightInd w:val="0"/>
        <w:snapToGrid w:val="0"/>
        <w:spacing w:beforeLines="100" w:before="312" w:line="500" w:lineRule="exact"/>
        <w:ind w:left="0" w:firstLine="0"/>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编制依据及有关费用的编制办法</w:t>
      </w:r>
    </w:p>
    <w:p w14:paraId="4D2EA202" w14:textId="67250CE2"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清单依据为《建设工程工程量清单计价规范》（GB 50500-2013）、《房屋建筑与装饰</w:t>
      </w:r>
      <w:r w:rsidRPr="00DA46E5">
        <w:rPr>
          <w:rFonts w:asciiTheme="minorEastAsia" w:hAnsiTheme="minorEastAsia" w:hint="eastAsia"/>
          <w:color w:val="000000" w:themeColor="text1"/>
          <w:szCs w:val="21"/>
        </w:rPr>
        <w:lastRenderedPageBreak/>
        <w:t>工程工程量计算规范》（GB 50854-2013）、</w:t>
      </w:r>
      <w:r w:rsidRPr="00DA46E5">
        <w:rPr>
          <w:rFonts w:asciiTheme="minorEastAsia" w:hAnsiTheme="minorEastAsia"/>
          <w:color w:val="000000" w:themeColor="text1"/>
          <w:szCs w:val="21"/>
        </w:rPr>
        <w:t>《通用安装工程工程量计算规范》</w:t>
      </w:r>
      <w:r w:rsidRPr="00DA46E5">
        <w:rPr>
          <w:rFonts w:asciiTheme="minorEastAsia" w:hAnsiTheme="minorEastAsia" w:hint="eastAsia"/>
          <w:color w:val="000000" w:themeColor="text1"/>
          <w:szCs w:val="21"/>
        </w:rPr>
        <w:t>（</w:t>
      </w:r>
      <w:hyperlink r:id="rId8" w:tgtFrame="_blank" w:history="1">
        <w:r w:rsidRPr="00DA46E5">
          <w:rPr>
            <w:rFonts w:asciiTheme="minorEastAsia" w:hAnsiTheme="minorEastAsia"/>
            <w:color w:val="000000" w:themeColor="text1"/>
            <w:szCs w:val="21"/>
          </w:rPr>
          <w:t>GB 50856-2013</w:t>
        </w:r>
      </w:hyperlink>
      <w:r w:rsidRPr="00DA46E5">
        <w:rPr>
          <w:rFonts w:asciiTheme="minorEastAsia" w:hAnsiTheme="minorEastAsia" w:hint="eastAsia"/>
          <w:color w:val="000000" w:themeColor="text1"/>
          <w:szCs w:val="21"/>
        </w:rPr>
        <w:t>）</w:t>
      </w:r>
      <w:r w:rsidR="006375AF" w:rsidRPr="00DA46E5">
        <w:rPr>
          <w:rFonts w:asciiTheme="minorEastAsia" w:hAnsiTheme="minorEastAsia" w:hint="eastAsia"/>
          <w:color w:val="000000" w:themeColor="text1"/>
          <w:szCs w:val="21"/>
        </w:rPr>
        <w:t>、</w:t>
      </w:r>
      <w:hyperlink r:id="rId9" w:tgtFrame="_blank" w:history="1">
        <w:r w:rsidR="00487D23" w:rsidRPr="00DA46E5">
          <w:rPr>
            <w:rFonts w:asciiTheme="minorEastAsia" w:hAnsiTheme="minorEastAsia"/>
            <w:color w:val="000000" w:themeColor="text1"/>
            <w:szCs w:val="21"/>
          </w:rPr>
          <w:t>《城市轨道交通工程工程量计算规范》</w:t>
        </w:r>
      </w:hyperlink>
      <w:r w:rsidR="00487D23" w:rsidRPr="00DA46E5">
        <w:rPr>
          <w:rFonts w:asciiTheme="minorEastAsia" w:hAnsiTheme="minorEastAsia" w:hint="eastAsia"/>
          <w:color w:val="000000" w:themeColor="text1"/>
          <w:szCs w:val="21"/>
        </w:rPr>
        <w:t>（</w:t>
      </w:r>
      <w:r w:rsidR="00487D23" w:rsidRPr="00DA46E5">
        <w:rPr>
          <w:rFonts w:asciiTheme="minorEastAsia" w:hAnsiTheme="minorEastAsia"/>
          <w:color w:val="000000" w:themeColor="text1"/>
          <w:szCs w:val="21"/>
        </w:rPr>
        <w:t>GB50861-2013</w:t>
      </w:r>
      <w:r w:rsidR="00487D23" w:rsidRPr="00DA46E5">
        <w:rPr>
          <w:rFonts w:asciiTheme="minorEastAsia" w:hAnsiTheme="minorEastAsia" w:hint="eastAsia"/>
          <w:color w:val="000000" w:themeColor="text1"/>
          <w:szCs w:val="21"/>
        </w:rPr>
        <w:t>）</w:t>
      </w:r>
      <w:r w:rsidRPr="00DA46E5">
        <w:rPr>
          <w:rFonts w:asciiTheme="minorEastAsia" w:hAnsiTheme="minorEastAsia" w:hint="eastAsia"/>
          <w:color w:val="000000" w:themeColor="text1"/>
          <w:szCs w:val="21"/>
        </w:rPr>
        <w:t>及其配套执行</w:t>
      </w:r>
      <w:r w:rsidRPr="00DA46E5">
        <w:rPr>
          <w:rFonts w:asciiTheme="minorEastAsia" w:hAnsiTheme="minorEastAsia"/>
          <w:color w:val="000000" w:themeColor="text1"/>
          <w:szCs w:val="21"/>
        </w:rPr>
        <w:t>的相关文件</w:t>
      </w:r>
    </w:p>
    <w:p w14:paraId="110A0A76" w14:textId="4230F1B8"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组价依据为《河南省房屋</w:t>
      </w:r>
      <w:r w:rsidRPr="00DA46E5">
        <w:rPr>
          <w:rFonts w:asciiTheme="minorEastAsia" w:hAnsiTheme="minorEastAsia"/>
          <w:color w:val="000000" w:themeColor="text1"/>
          <w:szCs w:val="21"/>
        </w:rPr>
        <w:t>建筑与装饰工程预算定额</w:t>
      </w:r>
      <w:r w:rsidRPr="00DA46E5">
        <w:rPr>
          <w:rFonts w:asciiTheme="minorEastAsia" w:hAnsiTheme="minorEastAsia" w:hint="eastAsia"/>
          <w:color w:val="000000" w:themeColor="text1"/>
          <w:szCs w:val="21"/>
        </w:rPr>
        <w:t>》（HA 01-31-2016）、《河南省</w:t>
      </w:r>
      <w:r w:rsidRPr="00DA46E5">
        <w:rPr>
          <w:rFonts w:asciiTheme="minorEastAsia" w:hAnsiTheme="minorEastAsia"/>
          <w:color w:val="000000" w:themeColor="text1"/>
          <w:szCs w:val="21"/>
        </w:rPr>
        <w:t>通用安装工程预算定额</w:t>
      </w:r>
      <w:r w:rsidRPr="00DA46E5">
        <w:rPr>
          <w:rFonts w:asciiTheme="minorEastAsia" w:hAnsiTheme="minorEastAsia" w:hint="eastAsia"/>
          <w:color w:val="000000" w:themeColor="text1"/>
          <w:szCs w:val="21"/>
        </w:rPr>
        <w:t>》（HA 02-31-2016）</w:t>
      </w:r>
      <w:r w:rsidR="00997748" w:rsidRPr="00DA46E5">
        <w:rPr>
          <w:rFonts w:asciiTheme="minorEastAsia" w:hAnsiTheme="minorEastAsia" w:hint="eastAsia"/>
          <w:color w:val="000000" w:themeColor="text1"/>
          <w:szCs w:val="21"/>
        </w:rPr>
        <w:t>、</w:t>
      </w:r>
      <w:r w:rsidR="00783EEF" w:rsidRPr="00DA46E5">
        <w:rPr>
          <w:rFonts w:asciiTheme="minorEastAsia" w:hAnsiTheme="minorEastAsia"/>
          <w:color w:val="000000" w:themeColor="text1"/>
          <w:szCs w:val="21"/>
        </w:rPr>
        <w:t>《河南省城市轨道交通工程预算定额》</w:t>
      </w:r>
      <w:r w:rsidR="00783EEF" w:rsidRPr="00DA46E5">
        <w:rPr>
          <w:rFonts w:asciiTheme="minorEastAsia" w:hAnsiTheme="minorEastAsia" w:hint="eastAsia"/>
          <w:color w:val="000000" w:themeColor="text1"/>
          <w:szCs w:val="21"/>
        </w:rPr>
        <w:t>（</w:t>
      </w:r>
      <w:r w:rsidR="00783EEF" w:rsidRPr="00DA46E5">
        <w:rPr>
          <w:rFonts w:asciiTheme="minorEastAsia" w:hAnsiTheme="minorEastAsia"/>
          <w:color w:val="000000" w:themeColor="text1"/>
          <w:szCs w:val="21"/>
        </w:rPr>
        <w:t>HA A3-31-2019</w:t>
      </w:r>
      <w:r w:rsidR="00783EEF" w:rsidRPr="00DA46E5">
        <w:rPr>
          <w:rFonts w:asciiTheme="minorEastAsia" w:hAnsiTheme="minorEastAsia" w:hint="eastAsia"/>
          <w:color w:val="000000" w:themeColor="text1"/>
          <w:szCs w:val="21"/>
        </w:rPr>
        <w:t>）</w:t>
      </w:r>
      <w:r w:rsidRPr="00DA46E5">
        <w:rPr>
          <w:rFonts w:asciiTheme="minorEastAsia" w:hAnsiTheme="minorEastAsia" w:hint="eastAsia"/>
          <w:color w:val="000000" w:themeColor="text1"/>
          <w:szCs w:val="21"/>
        </w:rPr>
        <w:t>及其各自配套执行的费用定额和有关文件编制。</w:t>
      </w:r>
    </w:p>
    <w:p w14:paraId="493FFB47"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设计图纸及相关规范、标准、技术资料。</w:t>
      </w:r>
    </w:p>
    <w:p w14:paraId="3697A54A" w14:textId="556B402C"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材料价格参考《郑州市建设</w:t>
      </w:r>
      <w:r w:rsidRPr="00DA46E5">
        <w:rPr>
          <w:rFonts w:asciiTheme="minorEastAsia" w:hAnsiTheme="minorEastAsia"/>
          <w:color w:val="000000" w:themeColor="text1"/>
          <w:szCs w:val="21"/>
        </w:rPr>
        <w:t>工程材料价格信息</w:t>
      </w:r>
      <w:r w:rsidRPr="00DA46E5">
        <w:rPr>
          <w:rFonts w:asciiTheme="minorEastAsia" w:hAnsiTheme="minorEastAsia" w:hint="eastAsia"/>
          <w:color w:val="000000" w:themeColor="text1"/>
          <w:szCs w:val="21"/>
        </w:rPr>
        <w:t>》2020年·</w:t>
      </w:r>
      <w:r w:rsidR="00C80A16" w:rsidRPr="00DA46E5">
        <w:rPr>
          <w:rFonts w:asciiTheme="minorEastAsia" w:hAnsiTheme="minorEastAsia"/>
          <w:color w:val="000000" w:themeColor="text1"/>
          <w:szCs w:val="21"/>
        </w:rPr>
        <w:t>6</w:t>
      </w:r>
      <w:r w:rsidRPr="00DA46E5">
        <w:rPr>
          <w:rFonts w:asciiTheme="minorEastAsia" w:hAnsiTheme="minorEastAsia" w:hint="eastAsia"/>
          <w:color w:val="000000" w:themeColor="text1"/>
          <w:szCs w:val="21"/>
        </w:rPr>
        <w:t>月份/20</w:t>
      </w:r>
      <w:r w:rsidRPr="00DA46E5">
        <w:rPr>
          <w:rFonts w:asciiTheme="minorEastAsia" w:hAnsiTheme="minorEastAsia"/>
          <w:color w:val="000000" w:themeColor="text1"/>
          <w:szCs w:val="21"/>
        </w:rPr>
        <w:t>20</w:t>
      </w:r>
      <w:r w:rsidRPr="00DA46E5">
        <w:rPr>
          <w:rFonts w:asciiTheme="minorEastAsia" w:hAnsiTheme="minorEastAsia" w:hint="eastAsia"/>
          <w:color w:val="000000" w:themeColor="text1"/>
          <w:szCs w:val="21"/>
        </w:rPr>
        <w:t>年·</w:t>
      </w:r>
      <w:r w:rsidRPr="00DA46E5">
        <w:rPr>
          <w:rFonts w:asciiTheme="minorEastAsia" w:hAnsiTheme="minorEastAsia"/>
          <w:color w:val="000000" w:themeColor="text1"/>
          <w:szCs w:val="21"/>
        </w:rPr>
        <w:t>第</w:t>
      </w:r>
      <w:r w:rsidRPr="00DA46E5">
        <w:rPr>
          <w:rFonts w:asciiTheme="minorEastAsia" w:hAnsiTheme="minorEastAsia" w:hint="eastAsia"/>
          <w:color w:val="000000" w:themeColor="text1"/>
          <w:szCs w:val="21"/>
        </w:rPr>
        <w:t>一</w:t>
      </w:r>
      <w:r w:rsidRPr="00DA46E5">
        <w:rPr>
          <w:rFonts w:asciiTheme="minorEastAsia" w:hAnsiTheme="minorEastAsia"/>
          <w:color w:val="000000" w:themeColor="text1"/>
          <w:szCs w:val="21"/>
        </w:rPr>
        <w:t>季度</w:t>
      </w:r>
      <w:r w:rsidRPr="00DA46E5">
        <w:rPr>
          <w:rFonts w:asciiTheme="minorEastAsia" w:hAnsiTheme="minorEastAsia" w:hint="eastAsia"/>
          <w:color w:val="000000" w:themeColor="text1"/>
          <w:szCs w:val="21"/>
        </w:rPr>
        <w:t>价格；其没有信息价的材料，按市场询价</w:t>
      </w:r>
      <w:r w:rsidR="00DC3A96" w:rsidRPr="00DA46E5">
        <w:rPr>
          <w:rFonts w:asciiTheme="minorEastAsia" w:hAnsiTheme="minorEastAsia" w:hint="eastAsia"/>
          <w:color w:val="000000" w:themeColor="text1"/>
          <w:szCs w:val="21"/>
        </w:rPr>
        <w:t>平均值</w:t>
      </w:r>
      <w:r w:rsidR="00B94D9E" w:rsidRPr="00DA46E5">
        <w:rPr>
          <w:rFonts w:asciiTheme="minorEastAsia" w:hAnsiTheme="minorEastAsia" w:hint="eastAsia"/>
          <w:color w:val="000000" w:themeColor="text1"/>
          <w:szCs w:val="21"/>
        </w:rPr>
        <w:t>扣税</w:t>
      </w:r>
      <w:r w:rsidR="00B94D9E" w:rsidRPr="00DA46E5">
        <w:rPr>
          <w:rFonts w:asciiTheme="minorEastAsia" w:hAnsiTheme="minorEastAsia"/>
          <w:color w:val="000000" w:themeColor="text1"/>
          <w:szCs w:val="21"/>
        </w:rPr>
        <w:t>（</w:t>
      </w:r>
      <w:r w:rsidR="00B94D9E" w:rsidRPr="00DA46E5">
        <w:rPr>
          <w:rFonts w:asciiTheme="minorEastAsia" w:hAnsiTheme="minorEastAsia" w:hint="eastAsia"/>
          <w:color w:val="000000" w:themeColor="text1"/>
          <w:szCs w:val="21"/>
        </w:rPr>
        <w:t>13</w:t>
      </w:r>
      <w:r w:rsidR="00B94D9E" w:rsidRPr="00DA46E5">
        <w:rPr>
          <w:rFonts w:asciiTheme="minorEastAsia" w:hAnsiTheme="minorEastAsia"/>
          <w:color w:val="000000" w:themeColor="text1"/>
          <w:szCs w:val="21"/>
        </w:rPr>
        <w:t>%）</w:t>
      </w:r>
      <w:r w:rsidRPr="00DA46E5">
        <w:rPr>
          <w:rFonts w:asciiTheme="minorEastAsia" w:hAnsiTheme="minorEastAsia" w:hint="eastAsia"/>
          <w:color w:val="000000" w:themeColor="text1"/>
          <w:szCs w:val="21"/>
        </w:rPr>
        <w:t>计取</w:t>
      </w:r>
      <w:r w:rsidRPr="00DA46E5">
        <w:rPr>
          <w:rFonts w:asciiTheme="minorEastAsia" w:hAnsiTheme="minorEastAsia"/>
          <w:color w:val="000000" w:themeColor="text1"/>
          <w:szCs w:val="21"/>
        </w:rPr>
        <w:t>。</w:t>
      </w:r>
    </w:p>
    <w:p w14:paraId="72ACE132"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人工费、</w:t>
      </w:r>
      <w:r w:rsidRPr="00DA46E5">
        <w:rPr>
          <w:rFonts w:asciiTheme="minorEastAsia" w:hAnsiTheme="minorEastAsia"/>
          <w:color w:val="000000" w:themeColor="text1"/>
          <w:szCs w:val="21"/>
        </w:rPr>
        <w:t>机械费、管理</w:t>
      </w:r>
      <w:r w:rsidRPr="00DA46E5">
        <w:rPr>
          <w:rFonts w:asciiTheme="minorEastAsia" w:hAnsiTheme="minorEastAsia" w:hint="eastAsia"/>
          <w:color w:val="000000" w:themeColor="text1"/>
          <w:szCs w:val="21"/>
        </w:rPr>
        <w:t>参考豫建标定〔2016〕40号文计取规则执行，并参考豫建标定〔20</w:t>
      </w:r>
      <w:r w:rsidRPr="00DA46E5">
        <w:rPr>
          <w:rFonts w:asciiTheme="minorEastAsia" w:hAnsiTheme="minorEastAsia"/>
          <w:color w:val="000000" w:themeColor="text1"/>
          <w:szCs w:val="21"/>
        </w:rPr>
        <w:t>20</w:t>
      </w:r>
      <w:r w:rsidRPr="00DA46E5">
        <w:rPr>
          <w:rFonts w:asciiTheme="minorEastAsia" w:hAnsiTheme="minorEastAsia" w:hint="eastAsia"/>
          <w:color w:val="000000" w:themeColor="text1"/>
          <w:szCs w:val="21"/>
        </w:rPr>
        <w:t>〕</w:t>
      </w:r>
      <w:r w:rsidRPr="00DA46E5">
        <w:rPr>
          <w:rFonts w:asciiTheme="minorEastAsia" w:hAnsiTheme="minorEastAsia"/>
          <w:color w:val="000000" w:themeColor="text1"/>
          <w:szCs w:val="21"/>
        </w:rPr>
        <w:t>23</w:t>
      </w:r>
      <w:r w:rsidRPr="00DA46E5">
        <w:rPr>
          <w:rFonts w:asciiTheme="minorEastAsia" w:hAnsiTheme="minorEastAsia" w:hint="eastAsia"/>
          <w:color w:val="000000" w:themeColor="text1"/>
          <w:szCs w:val="21"/>
        </w:rPr>
        <w:t>号文实行指数法动态调整。</w:t>
      </w:r>
    </w:p>
    <w:p w14:paraId="6D4828C8"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增值税税率依据住房和城乡建设部办公厅《关于重新调整建设工程计价依据增值税税率的通知》（建办标函〔2019〕193号），按9%计取。</w:t>
      </w:r>
    </w:p>
    <w:p w14:paraId="045176F9"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其他措施费（夜间施工增加费、二次搬运费、冬雨季施工增加费）依据豫建设标〔2017〕99号文</w:t>
      </w:r>
      <w:r w:rsidRPr="00DA46E5">
        <w:rPr>
          <w:rFonts w:asciiTheme="minorEastAsia" w:hAnsiTheme="minorEastAsia"/>
          <w:color w:val="000000" w:themeColor="text1"/>
          <w:szCs w:val="21"/>
        </w:rPr>
        <w:t>，</w:t>
      </w:r>
      <w:r w:rsidRPr="00DA46E5">
        <w:rPr>
          <w:rFonts w:asciiTheme="minorEastAsia" w:hAnsiTheme="minorEastAsia" w:hint="eastAsia"/>
          <w:color w:val="000000" w:themeColor="text1"/>
          <w:szCs w:val="21"/>
        </w:rPr>
        <w:t>在编制最高投标限价（招标控制价）时，按定额足额计取。</w:t>
      </w:r>
    </w:p>
    <w:p w14:paraId="444DDABD" w14:textId="77777777" w:rsidR="001370A5" w:rsidRPr="00DA46E5" w:rsidRDefault="001370A5" w:rsidP="001370A5">
      <w:pPr>
        <w:numPr>
          <w:ilvl w:val="1"/>
          <w:numId w:val="5"/>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其他未说明的项目按照现行的与建设项目有关的法律法规、文件、规范、技术资料执行。</w:t>
      </w:r>
    </w:p>
    <w:p w14:paraId="043F963C" w14:textId="77777777" w:rsidR="00C60F8B" w:rsidRPr="00DA46E5" w:rsidRDefault="00C60F8B" w:rsidP="00C60F8B">
      <w:pPr>
        <w:numPr>
          <w:ilvl w:val="0"/>
          <w:numId w:val="1"/>
        </w:numPr>
        <w:adjustRightInd w:val="0"/>
        <w:snapToGrid w:val="0"/>
        <w:spacing w:beforeLines="100" w:before="312" w:line="500" w:lineRule="exact"/>
        <w:ind w:left="0" w:firstLine="0"/>
        <w:rPr>
          <w:rFonts w:asciiTheme="minorEastAsia" w:hAnsiTheme="minorEastAsia"/>
          <w:b/>
          <w:color w:val="000000" w:themeColor="text1"/>
          <w:szCs w:val="21"/>
        </w:rPr>
      </w:pPr>
      <w:r w:rsidRPr="00DA46E5">
        <w:rPr>
          <w:rFonts w:asciiTheme="minorEastAsia" w:hAnsiTheme="minorEastAsia" w:hint="eastAsia"/>
          <w:b/>
          <w:color w:val="000000" w:themeColor="text1"/>
          <w:szCs w:val="21"/>
        </w:rPr>
        <w:t>其他说明：</w:t>
      </w:r>
    </w:p>
    <w:p w14:paraId="45137DB2" w14:textId="736917A0" w:rsidR="00FB3BBB" w:rsidRPr="00DA46E5" w:rsidRDefault="00546ED8" w:rsidP="00546ED8">
      <w:pPr>
        <w:numPr>
          <w:ilvl w:val="1"/>
          <w:numId w:val="11"/>
        </w:numPr>
        <w:adjustRightInd w:val="0"/>
        <w:snapToGrid w:val="0"/>
        <w:spacing w:line="500" w:lineRule="exact"/>
        <w:ind w:firstLineChars="200" w:firstLine="420"/>
        <w:rPr>
          <w:rFonts w:asciiTheme="minorEastAsia" w:hAnsiTheme="minorEastAsia"/>
          <w:color w:val="000000" w:themeColor="text1"/>
          <w:szCs w:val="21"/>
        </w:rPr>
      </w:pPr>
      <w:r w:rsidRPr="00DA46E5">
        <w:rPr>
          <w:rFonts w:asciiTheme="minorEastAsia" w:hAnsiTheme="minorEastAsia" w:hint="eastAsia"/>
          <w:color w:val="000000" w:themeColor="text1"/>
          <w:szCs w:val="21"/>
        </w:rPr>
        <w:t>本工程</w:t>
      </w:r>
      <w:r w:rsidRPr="00DA46E5">
        <w:rPr>
          <w:rFonts w:asciiTheme="minorEastAsia" w:hAnsiTheme="minorEastAsia"/>
          <w:color w:val="000000" w:themeColor="text1"/>
          <w:szCs w:val="21"/>
        </w:rPr>
        <w:t>暂列金额合计</w:t>
      </w:r>
      <w:r w:rsidR="00913382" w:rsidRPr="00DA46E5">
        <w:rPr>
          <w:rFonts w:asciiTheme="minorEastAsia" w:hAnsiTheme="minorEastAsia"/>
          <w:color w:val="000000" w:themeColor="text1"/>
          <w:szCs w:val="21"/>
        </w:rPr>
        <w:t>17</w:t>
      </w:r>
      <w:r w:rsidR="009557F8" w:rsidRPr="00DA46E5">
        <w:rPr>
          <w:rFonts w:asciiTheme="minorEastAsia" w:hAnsiTheme="minorEastAsia"/>
          <w:color w:val="000000" w:themeColor="text1"/>
          <w:szCs w:val="21"/>
        </w:rPr>
        <w:t>5</w:t>
      </w:r>
      <w:r w:rsidRPr="00DA46E5">
        <w:rPr>
          <w:rFonts w:asciiTheme="minorEastAsia" w:hAnsiTheme="minorEastAsia"/>
          <w:color w:val="000000" w:themeColor="text1"/>
          <w:szCs w:val="21"/>
        </w:rPr>
        <w:t>,0</w:t>
      </w:r>
      <w:r w:rsidRPr="00DA46E5">
        <w:rPr>
          <w:rFonts w:asciiTheme="minorEastAsia" w:hAnsiTheme="minorEastAsia" w:hint="eastAsia"/>
          <w:color w:val="000000" w:themeColor="text1"/>
          <w:szCs w:val="21"/>
        </w:rPr>
        <w:t>00.00</w:t>
      </w:r>
      <w:r w:rsidR="00504163" w:rsidRPr="00DA46E5">
        <w:rPr>
          <w:rFonts w:asciiTheme="minorEastAsia" w:hAnsiTheme="minorEastAsia" w:hint="eastAsia"/>
          <w:color w:val="000000" w:themeColor="text1"/>
          <w:szCs w:val="21"/>
        </w:rPr>
        <w:t>元</w:t>
      </w:r>
      <w:r w:rsidR="00C7646C" w:rsidRPr="00DA46E5">
        <w:rPr>
          <w:rFonts w:asciiTheme="minorEastAsia" w:hAnsiTheme="minorEastAsia" w:hint="eastAsia"/>
          <w:color w:val="000000" w:themeColor="text1"/>
          <w:szCs w:val="21"/>
        </w:rPr>
        <w:t>，</w:t>
      </w:r>
      <w:r w:rsidR="00C7646C" w:rsidRPr="00DA46E5">
        <w:rPr>
          <w:rFonts w:asciiTheme="minorEastAsia" w:hAnsiTheme="minorEastAsia"/>
          <w:color w:val="000000" w:themeColor="text1"/>
          <w:szCs w:val="21"/>
        </w:rPr>
        <w:t>为不可</w:t>
      </w:r>
      <w:r w:rsidR="00C7646C" w:rsidRPr="00DA46E5">
        <w:rPr>
          <w:rFonts w:asciiTheme="minorEastAsia" w:hAnsiTheme="minorEastAsia" w:hint="eastAsia"/>
          <w:color w:val="000000" w:themeColor="text1"/>
          <w:szCs w:val="21"/>
        </w:rPr>
        <w:t>竞争</w:t>
      </w:r>
      <w:r w:rsidR="00C7646C" w:rsidRPr="00DA46E5">
        <w:rPr>
          <w:rFonts w:asciiTheme="minorEastAsia" w:hAnsiTheme="minorEastAsia"/>
          <w:color w:val="000000" w:themeColor="text1"/>
          <w:szCs w:val="21"/>
        </w:rPr>
        <w:t>费用</w:t>
      </w:r>
      <w:r w:rsidR="00504163" w:rsidRPr="00DA46E5">
        <w:rPr>
          <w:rFonts w:asciiTheme="minorEastAsia" w:hAnsiTheme="minorEastAsia" w:hint="eastAsia"/>
          <w:color w:val="000000" w:themeColor="text1"/>
          <w:szCs w:val="21"/>
        </w:rPr>
        <w:t>。</w:t>
      </w:r>
    </w:p>
    <w:sectPr w:rsidR="00FB3BBB" w:rsidRPr="00DA46E5">
      <w:footerReference w:type="default" r:id="rId10"/>
      <w:pgSz w:w="11906" w:h="16838"/>
      <w:pgMar w:top="1440" w:right="1797" w:bottom="1440" w:left="1797"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006031" w14:textId="77777777" w:rsidR="007D1E4E" w:rsidRDefault="007D1E4E">
      <w:r>
        <w:separator/>
      </w:r>
    </w:p>
  </w:endnote>
  <w:endnote w:type="continuationSeparator" w:id="0">
    <w:p w14:paraId="38E64FFB" w14:textId="77777777" w:rsidR="007D1E4E" w:rsidRDefault="007D1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DA142" w14:textId="248705AA" w:rsidR="00FB3BBB" w:rsidRDefault="00CF507A">
    <w:pPr>
      <w:pStyle w:val="a6"/>
      <w:jc w:val="center"/>
      <w:rPr>
        <w:rFonts w:ascii="宋体" w:hAnsi="宋体"/>
      </w:rPr>
    </w:pPr>
    <w:r>
      <w:rPr>
        <w:rFonts w:ascii="宋体" w:hAnsi="宋体" w:hint="eastAsia"/>
      </w:rPr>
      <w:t>第</w:t>
    </w:r>
    <w:r>
      <w:rPr>
        <w:rFonts w:ascii="宋体" w:hAnsi="宋体"/>
        <w:bCs/>
      </w:rPr>
      <w:fldChar w:fldCharType="begin"/>
    </w:r>
    <w:r>
      <w:rPr>
        <w:rFonts w:ascii="宋体" w:hAnsi="宋体"/>
        <w:bCs/>
      </w:rPr>
      <w:instrText>PAGE</w:instrText>
    </w:r>
    <w:r>
      <w:rPr>
        <w:rFonts w:ascii="宋体" w:hAnsi="宋体"/>
        <w:bCs/>
      </w:rPr>
      <w:fldChar w:fldCharType="separate"/>
    </w:r>
    <w:r w:rsidR="00D179D8">
      <w:rPr>
        <w:rFonts w:ascii="宋体" w:hAnsi="宋体"/>
        <w:bCs/>
        <w:noProof/>
      </w:rPr>
      <w:t>2</w:t>
    </w:r>
    <w:r>
      <w:rPr>
        <w:rFonts w:ascii="宋体" w:hAnsi="宋体"/>
        <w:bCs/>
      </w:rPr>
      <w:fldChar w:fldCharType="end"/>
    </w:r>
    <w:r>
      <w:rPr>
        <w:rFonts w:ascii="宋体" w:hAnsi="宋体" w:hint="eastAsia"/>
        <w:bCs/>
      </w:rPr>
      <w:t>页</w:t>
    </w:r>
    <w:r w:rsidR="00620196">
      <w:rPr>
        <w:rFonts w:ascii="宋体" w:hAnsi="宋体"/>
        <w:bCs/>
      </w:rPr>
      <w:t xml:space="preserve"> </w:t>
    </w:r>
    <w:r>
      <w:rPr>
        <w:rFonts w:ascii="宋体" w:hAnsi="宋体" w:hint="eastAsia"/>
        <w:bCs/>
      </w:rPr>
      <w:t>共</w:t>
    </w:r>
    <w:r>
      <w:rPr>
        <w:rFonts w:ascii="宋体" w:hAnsi="宋体"/>
        <w:bCs/>
      </w:rPr>
      <w:fldChar w:fldCharType="begin"/>
    </w:r>
    <w:r>
      <w:rPr>
        <w:rFonts w:ascii="宋体" w:hAnsi="宋体"/>
        <w:bCs/>
      </w:rPr>
      <w:instrText>NUMPAGES</w:instrText>
    </w:r>
    <w:r>
      <w:rPr>
        <w:rFonts w:ascii="宋体" w:hAnsi="宋体"/>
        <w:bCs/>
      </w:rPr>
      <w:fldChar w:fldCharType="separate"/>
    </w:r>
    <w:r w:rsidR="00D179D8">
      <w:rPr>
        <w:rFonts w:ascii="宋体" w:hAnsi="宋体"/>
        <w:bCs/>
        <w:noProof/>
      </w:rPr>
      <w:t>3</w:t>
    </w:r>
    <w:r>
      <w:rPr>
        <w:rFonts w:ascii="宋体" w:hAnsi="宋体"/>
        <w:bCs/>
      </w:rPr>
      <w:fldChar w:fldCharType="end"/>
    </w:r>
    <w:r>
      <w:rPr>
        <w:rFonts w:ascii="宋体" w:hAnsi="宋体" w:hint="eastAsia"/>
        <w:bCs/>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6217A" w14:textId="77777777" w:rsidR="007D1E4E" w:rsidRDefault="007D1E4E">
      <w:r>
        <w:separator/>
      </w:r>
    </w:p>
  </w:footnote>
  <w:footnote w:type="continuationSeparator" w:id="0">
    <w:p w14:paraId="4413A344" w14:textId="77777777" w:rsidR="007D1E4E" w:rsidRDefault="007D1E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C75E8"/>
    <w:multiLevelType w:val="multilevel"/>
    <w:tmpl w:val="071C75E8"/>
    <w:lvl w:ilvl="0">
      <w:start w:val="1"/>
      <w:numFmt w:val="decimal"/>
      <w:lvlText w:val="%1"/>
      <w:lvlJc w:val="left"/>
      <w:pPr>
        <w:ind w:left="425" w:hanging="425"/>
      </w:pPr>
      <w:rPr>
        <w:rFonts w:hint="eastAsia"/>
      </w:rPr>
    </w:lvl>
    <w:lvl w:ilvl="1">
      <w:start w:val="1"/>
      <w:numFmt w:val="decimal"/>
      <w:suff w:val="space"/>
      <w:lvlText w:val="4.%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DDA14B0"/>
    <w:multiLevelType w:val="multilevel"/>
    <w:tmpl w:val="0DDA14B0"/>
    <w:lvl w:ilvl="0">
      <w:start w:val="1"/>
      <w:numFmt w:val="decimal"/>
      <w:lvlText w:val="%1"/>
      <w:lvlJc w:val="left"/>
      <w:pPr>
        <w:ind w:left="425" w:hanging="425"/>
      </w:pPr>
      <w:rPr>
        <w:rFonts w:hint="eastAsia"/>
      </w:rPr>
    </w:lvl>
    <w:lvl w:ilvl="1">
      <w:start w:val="1"/>
      <w:numFmt w:val="decimal"/>
      <w:suff w:val="space"/>
      <w:lvlText w:val="3.%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8131A5"/>
    <w:multiLevelType w:val="multilevel"/>
    <w:tmpl w:val="118131A5"/>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suff w:val="space"/>
      <w:lvlText w:val="%1.%3"/>
      <w:lvlJc w:val="left"/>
      <w:pPr>
        <w:ind w:left="127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4C5FA2"/>
    <w:multiLevelType w:val="multilevel"/>
    <w:tmpl w:val="CA70B1B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lowerLetter"/>
      <w:suff w:val="space"/>
      <w:lvlText w:val="%3"/>
      <w:lvlJc w:val="left"/>
      <w:pPr>
        <w:ind w:left="127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BA707EC"/>
    <w:multiLevelType w:val="multilevel"/>
    <w:tmpl w:val="6A9A26B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upperLetter"/>
      <w:suff w:val="space"/>
      <w:lvlText w:val="%3"/>
      <w:lvlJc w:val="left"/>
      <w:pPr>
        <w:ind w:left="127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20AC2C37"/>
    <w:multiLevelType w:val="multilevel"/>
    <w:tmpl w:val="071C75E8"/>
    <w:lvl w:ilvl="0">
      <w:start w:val="1"/>
      <w:numFmt w:val="decimal"/>
      <w:lvlText w:val="%1"/>
      <w:lvlJc w:val="left"/>
      <w:pPr>
        <w:ind w:left="425" w:hanging="425"/>
      </w:pPr>
      <w:rPr>
        <w:rFonts w:hint="eastAsia"/>
      </w:rPr>
    </w:lvl>
    <w:lvl w:ilvl="1">
      <w:start w:val="1"/>
      <w:numFmt w:val="decimal"/>
      <w:suff w:val="space"/>
      <w:lvlText w:val="4.%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26B52489"/>
    <w:multiLevelType w:val="multilevel"/>
    <w:tmpl w:val="BFA243BA"/>
    <w:lvl w:ilvl="0">
      <w:start w:val="1"/>
      <w:numFmt w:val="decimal"/>
      <w:lvlText w:val="%1"/>
      <w:lvlJc w:val="left"/>
      <w:pPr>
        <w:ind w:left="425" w:hanging="425"/>
      </w:pPr>
      <w:rPr>
        <w:rFonts w:hint="eastAsia"/>
      </w:rPr>
    </w:lvl>
    <w:lvl w:ilvl="1">
      <w:start w:val="1"/>
      <w:numFmt w:val="decimal"/>
      <w:suff w:val="space"/>
      <w:lvlText w:val="3.%2"/>
      <w:lvlJc w:val="left"/>
      <w:pPr>
        <w:ind w:left="0" w:firstLine="425"/>
      </w:pPr>
      <w:rPr>
        <w:rFonts w:hint="eastAsia"/>
        <w:b w: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3D79171E"/>
    <w:multiLevelType w:val="hybridMultilevel"/>
    <w:tmpl w:val="D46CEFEC"/>
    <w:lvl w:ilvl="0" w:tplc="CA1C3E0C">
      <w:start w:val="1"/>
      <w:numFmt w:val="bullet"/>
      <w:suff w:val="space"/>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40B94C45"/>
    <w:multiLevelType w:val="multilevel"/>
    <w:tmpl w:val="FB8A750E"/>
    <w:lvl w:ilvl="0">
      <w:start w:val="1"/>
      <w:numFmt w:val="decimal"/>
      <w:lvlText w:val="%1"/>
      <w:lvlJc w:val="left"/>
      <w:pPr>
        <w:ind w:left="425" w:hanging="425"/>
      </w:pPr>
      <w:rPr>
        <w:rFonts w:hint="eastAsia"/>
      </w:rPr>
    </w:lvl>
    <w:lvl w:ilvl="1">
      <w:start w:val="1"/>
      <w:numFmt w:val="decimal"/>
      <w:suff w:val="space"/>
      <w:lvlText w:val="4.%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5DAE1973"/>
    <w:multiLevelType w:val="multilevel"/>
    <w:tmpl w:val="5DAE1973"/>
    <w:lvl w:ilvl="0">
      <w:start w:val="1"/>
      <w:numFmt w:val="bullet"/>
      <w:suff w:val="space"/>
      <w:lvlText w:val=""/>
      <w:lvlJc w:val="left"/>
      <w:pPr>
        <w:ind w:left="987" w:hanging="420"/>
      </w:pPr>
      <w:rPr>
        <w:rFonts w:ascii="Wingdings" w:hAnsi="Wingdings" w:hint="default"/>
      </w:rPr>
    </w:lvl>
    <w:lvl w:ilvl="1">
      <w:start w:val="1"/>
      <w:numFmt w:val="bullet"/>
      <w:lvlText w:val=""/>
      <w:lvlJc w:val="left"/>
      <w:pPr>
        <w:ind w:left="1407" w:hanging="420"/>
      </w:pPr>
      <w:rPr>
        <w:rFonts w:ascii="Wingdings" w:hAnsi="Wingdings" w:hint="default"/>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abstractNum w:abstractNumId="10" w15:restartNumberingAfterBreak="0">
    <w:nsid w:val="60B00D2A"/>
    <w:multiLevelType w:val="multilevel"/>
    <w:tmpl w:val="EC0ABD06"/>
    <w:lvl w:ilvl="0">
      <w:start w:val="1"/>
      <w:numFmt w:val="decimal"/>
      <w:lvlText w:val="%1"/>
      <w:lvlJc w:val="left"/>
      <w:pPr>
        <w:ind w:left="425" w:hanging="425"/>
      </w:pPr>
      <w:rPr>
        <w:rFonts w:hint="eastAsia"/>
      </w:rPr>
    </w:lvl>
    <w:lvl w:ilvl="1">
      <w:start w:val="1"/>
      <w:numFmt w:val="decimal"/>
      <w:suff w:val="space"/>
      <w:lvlText w:val="4.%2"/>
      <w:lvlJc w:val="left"/>
      <w:pPr>
        <w:ind w:left="0" w:firstLine="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66ED6919"/>
    <w:multiLevelType w:val="multilevel"/>
    <w:tmpl w:val="66ED6919"/>
    <w:lvl w:ilvl="0">
      <w:start w:val="1"/>
      <w:numFmt w:val="koreanDigital2"/>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suff w:val="space"/>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6C026874"/>
    <w:multiLevelType w:val="multilevel"/>
    <w:tmpl w:val="6C02687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suff w:val="space"/>
      <w:lvlText w:val="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73805720"/>
    <w:multiLevelType w:val="multilevel"/>
    <w:tmpl w:val="EF9601DC"/>
    <w:lvl w:ilvl="0">
      <w:start w:val="1"/>
      <w:numFmt w:val="decimal"/>
      <w:suff w:val="space"/>
      <w:lvlText w:val="3.10.%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1"/>
  </w:num>
  <w:num w:numId="2">
    <w:abstractNumId w:val="2"/>
  </w:num>
  <w:num w:numId="3">
    <w:abstractNumId w:val="12"/>
  </w:num>
  <w:num w:numId="4">
    <w:abstractNumId w:val="9"/>
  </w:num>
  <w:num w:numId="5">
    <w:abstractNumId w:val="1"/>
  </w:num>
  <w:num w:numId="6">
    <w:abstractNumId w:val="0"/>
  </w:num>
  <w:num w:numId="7">
    <w:abstractNumId w:val="8"/>
  </w:num>
  <w:num w:numId="8">
    <w:abstractNumId w:val="10"/>
  </w:num>
  <w:num w:numId="9">
    <w:abstractNumId w:val="13"/>
  </w:num>
  <w:num w:numId="10">
    <w:abstractNumId w:val="6"/>
  </w:num>
  <w:num w:numId="11">
    <w:abstractNumId w:val="5"/>
  </w:num>
  <w:num w:numId="12">
    <w:abstractNumId w:val="4"/>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DEF"/>
    <w:rsid w:val="0000420B"/>
    <w:rsid w:val="00007C9D"/>
    <w:rsid w:val="000142F4"/>
    <w:rsid w:val="000176A4"/>
    <w:rsid w:val="00032B90"/>
    <w:rsid w:val="00036164"/>
    <w:rsid w:val="00043058"/>
    <w:rsid w:val="00044600"/>
    <w:rsid w:val="00061144"/>
    <w:rsid w:val="00067FEC"/>
    <w:rsid w:val="00093A05"/>
    <w:rsid w:val="000B42B7"/>
    <w:rsid w:val="000C241B"/>
    <w:rsid w:val="000C28A8"/>
    <w:rsid w:val="000D12C2"/>
    <w:rsid w:val="000D6D74"/>
    <w:rsid w:val="0010000F"/>
    <w:rsid w:val="0011772F"/>
    <w:rsid w:val="001267DD"/>
    <w:rsid w:val="001370A5"/>
    <w:rsid w:val="001509AD"/>
    <w:rsid w:val="00154C91"/>
    <w:rsid w:val="00177C0C"/>
    <w:rsid w:val="001850C4"/>
    <w:rsid w:val="00185CC4"/>
    <w:rsid w:val="00185F7C"/>
    <w:rsid w:val="00187569"/>
    <w:rsid w:val="001A0852"/>
    <w:rsid w:val="001A19C1"/>
    <w:rsid w:val="001A70D1"/>
    <w:rsid w:val="001A75BF"/>
    <w:rsid w:val="001D0154"/>
    <w:rsid w:val="001F00E7"/>
    <w:rsid w:val="00244D64"/>
    <w:rsid w:val="002452FF"/>
    <w:rsid w:val="002462FA"/>
    <w:rsid w:val="002738FF"/>
    <w:rsid w:val="00280DC8"/>
    <w:rsid w:val="002879A9"/>
    <w:rsid w:val="00287DEB"/>
    <w:rsid w:val="0029286C"/>
    <w:rsid w:val="00292DC1"/>
    <w:rsid w:val="002B1758"/>
    <w:rsid w:val="002B1C55"/>
    <w:rsid w:val="002D51C5"/>
    <w:rsid w:val="002E0014"/>
    <w:rsid w:val="002E4454"/>
    <w:rsid w:val="003268B7"/>
    <w:rsid w:val="003302F6"/>
    <w:rsid w:val="003322B1"/>
    <w:rsid w:val="00335C38"/>
    <w:rsid w:val="00341A38"/>
    <w:rsid w:val="00344120"/>
    <w:rsid w:val="00355C5C"/>
    <w:rsid w:val="00357DE5"/>
    <w:rsid w:val="00363671"/>
    <w:rsid w:val="003640C8"/>
    <w:rsid w:val="00370167"/>
    <w:rsid w:val="00375808"/>
    <w:rsid w:val="003764FB"/>
    <w:rsid w:val="00377174"/>
    <w:rsid w:val="00395597"/>
    <w:rsid w:val="003A1305"/>
    <w:rsid w:val="003B32BF"/>
    <w:rsid w:val="003C4D6F"/>
    <w:rsid w:val="003F2AFC"/>
    <w:rsid w:val="00442B2F"/>
    <w:rsid w:val="00444BC5"/>
    <w:rsid w:val="00460970"/>
    <w:rsid w:val="00480431"/>
    <w:rsid w:val="00482731"/>
    <w:rsid w:val="00487D23"/>
    <w:rsid w:val="004901DB"/>
    <w:rsid w:val="004A0081"/>
    <w:rsid w:val="004A443F"/>
    <w:rsid w:val="004A77DE"/>
    <w:rsid w:val="004D41B3"/>
    <w:rsid w:val="004D7820"/>
    <w:rsid w:val="004F0376"/>
    <w:rsid w:val="004F0D80"/>
    <w:rsid w:val="004F1E7D"/>
    <w:rsid w:val="00504163"/>
    <w:rsid w:val="00504FE6"/>
    <w:rsid w:val="005135F6"/>
    <w:rsid w:val="00520D08"/>
    <w:rsid w:val="00546ED8"/>
    <w:rsid w:val="00560F79"/>
    <w:rsid w:val="00566A2C"/>
    <w:rsid w:val="005803C5"/>
    <w:rsid w:val="005831A4"/>
    <w:rsid w:val="00597125"/>
    <w:rsid w:val="005A5C28"/>
    <w:rsid w:val="005B4677"/>
    <w:rsid w:val="005D72B1"/>
    <w:rsid w:val="005E2DEF"/>
    <w:rsid w:val="005E6193"/>
    <w:rsid w:val="005F4F28"/>
    <w:rsid w:val="006127CB"/>
    <w:rsid w:val="006164EA"/>
    <w:rsid w:val="00620196"/>
    <w:rsid w:val="00622855"/>
    <w:rsid w:val="00623F8A"/>
    <w:rsid w:val="00635559"/>
    <w:rsid w:val="006375AF"/>
    <w:rsid w:val="006461C7"/>
    <w:rsid w:val="00646697"/>
    <w:rsid w:val="006858F1"/>
    <w:rsid w:val="006904C9"/>
    <w:rsid w:val="00693C39"/>
    <w:rsid w:val="00694747"/>
    <w:rsid w:val="006A47CF"/>
    <w:rsid w:val="006E6113"/>
    <w:rsid w:val="007057AC"/>
    <w:rsid w:val="00725EE7"/>
    <w:rsid w:val="0073156D"/>
    <w:rsid w:val="00733DFB"/>
    <w:rsid w:val="00734070"/>
    <w:rsid w:val="00746CB1"/>
    <w:rsid w:val="00756328"/>
    <w:rsid w:val="0077573E"/>
    <w:rsid w:val="00783EEF"/>
    <w:rsid w:val="00787059"/>
    <w:rsid w:val="0079408F"/>
    <w:rsid w:val="007A06F9"/>
    <w:rsid w:val="007A14D1"/>
    <w:rsid w:val="007C207C"/>
    <w:rsid w:val="007C49FF"/>
    <w:rsid w:val="007C52CF"/>
    <w:rsid w:val="007D1E4E"/>
    <w:rsid w:val="007D52F1"/>
    <w:rsid w:val="007D7459"/>
    <w:rsid w:val="007E58A8"/>
    <w:rsid w:val="007F1ECC"/>
    <w:rsid w:val="007F2B71"/>
    <w:rsid w:val="007F59CB"/>
    <w:rsid w:val="008007CB"/>
    <w:rsid w:val="008206BE"/>
    <w:rsid w:val="0082558B"/>
    <w:rsid w:val="0084412B"/>
    <w:rsid w:val="00857B06"/>
    <w:rsid w:val="00864AA0"/>
    <w:rsid w:val="00885B82"/>
    <w:rsid w:val="00886AC3"/>
    <w:rsid w:val="008C20B0"/>
    <w:rsid w:val="008D4845"/>
    <w:rsid w:val="008D74ED"/>
    <w:rsid w:val="00913382"/>
    <w:rsid w:val="00920626"/>
    <w:rsid w:val="009557F8"/>
    <w:rsid w:val="00991257"/>
    <w:rsid w:val="00997748"/>
    <w:rsid w:val="009A4C00"/>
    <w:rsid w:val="009A6FA9"/>
    <w:rsid w:val="009B0F96"/>
    <w:rsid w:val="009B7BC6"/>
    <w:rsid w:val="009D09DB"/>
    <w:rsid w:val="009D0C6E"/>
    <w:rsid w:val="009E7B05"/>
    <w:rsid w:val="009F3C33"/>
    <w:rsid w:val="00A04118"/>
    <w:rsid w:val="00A04237"/>
    <w:rsid w:val="00A4640C"/>
    <w:rsid w:val="00A50DC0"/>
    <w:rsid w:val="00A618D5"/>
    <w:rsid w:val="00AA2330"/>
    <w:rsid w:val="00AA6BD9"/>
    <w:rsid w:val="00AA7464"/>
    <w:rsid w:val="00AB2873"/>
    <w:rsid w:val="00AC4210"/>
    <w:rsid w:val="00AC60FC"/>
    <w:rsid w:val="00AE05A7"/>
    <w:rsid w:val="00B00AE4"/>
    <w:rsid w:val="00B03900"/>
    <w:rsid w:val="00B16517"/>
    <w:rsid w:val="00B22F42"/>
    <w:rsid w:val="00B36169"/>
    <w:rsid w:val="00B37934"/>
    <w:rsid w:val="00B37AEE"/>
    <w:rsid w:val="00B44A66"/>
    <w:rsid w:val="00B73A06"/>
    <w:rsid w:val="00B82A21"/>
    <w:rsid w:val="00B864CE"/>
    <w:rsid w:val="00B9021D"/>
    <w:rsid w:val="00B946A4"/>
    <w:rsid w:val="00B94D9E"/>
    <w:rsid w:val="00B96A6C"/>
    <w:rsid w:val="00B97E34"/>
    <w:rsid w:val="00BA7AF4"/>
    <w:rsid w:val="00BB6568"/>
    <w:rsid w:val="00BC50E4"/>
    <w:rsid w:val="00BC7181"/>
    <w:rsid w:val="00BF4172"/>
    <w:rsid w:val="00C21759"/>
    <w:rsid w:val="00C276A9"/>
    <w:rsid w:val="00C43460"/>
    <w:rsid w:val="00C450F7"/>
    <w:rsid w:val="00C54719"/>
    <w:rsid w:val="00C60F8B"/>
    <w:rsid w:val="00C701A2"/>
    <w:rsid w:val="00C71FCA"/>
    <w:rsid w:val="00C74774"/>
    <w:rsid w:val="00C75355"/>
    <w:rsid w:val="00C7646C"/>
    <w:rsid w:val="00C7724F"/>
    <w:rsid w:val="00C80A16"/>
    <w:rsid w:val="00CB0B7C"/>
    <w:rsid w:val="00CC0A06"/>
    <w:rsid w:val="00CE066D"/>
    <w:rsid w:val="00CF1575"/>
    <w:rsid w:val="00CF507A"/>
    <w:rsid w:val="00D025CE"/>
    <w:rsid w:val="00D07922"/>
    <w:rsid w:val="00D179D8"/>
    <w:rsid w:val="00D23B01"/>
    <w:rsid w:val="00D346AA"/>
    <w:rsid w:val="00D55622"/>
    <w:rsid w:val="00D67B74"/>
    <w:rsid w:val="00D875F1"/>
    <w:rsid w:val="00D93E9D"/>
    <w:rsid w:val="00DA46E5"/>
    <w:rsid w:val="00DB0D7C"/>
    <w:rsid w:val="00DB4A7A"/>
    <w:rsid w:val="00DC3A96"/>
    <w:rsid w:val="00DD0ECF"/>
    <w:rsid w:val="00DD1838"/>
    <w:rsid w:val="00DD7FF8"/>
    <w:rsid w:val="00DE5AF5"/>
    <w:rsid w:val="00E10D77"/>
    <w:rsid w:val="00E14383"/>
    <w:rsid w:val="00E217D4"/>
    <w:rsid w:val="00E23EDB"/>
    <w:rsid w:val="00E2441F"/>
    <w:rsid w:val="00E26922"/>
    <w:rsid w:val="00E5499E"/>
    <w:rsid w:val="00E77E19"/>
    <w:rsid w:val="00EB1C6D"/>
    <w:rsid w:val="00EB7588"/>
    <w:rsid w:val="00EC412E"/>
    <w:rsid w:val="00EE165C"/>
    <w:rsid w:val="00EE69DC"/>
    <w:rsid w:val="00EF4923"/>
    <w:rsid w:val="00F0641D"/>
    <w:rsid w:val="00F1544E"/>
    <w:rsid w:val="00F24A4B"/>
    <w:rsid w:val="00F31342"/>
    <w:rsid w:val="00F34AEC"/>
    <w:rsid w:val="00F4466C"/>
    <w:rsid w:val="00F51EBD"/>
    <w:rsid w:val="00F65D4D"/>
    <w:rsid w:val="00FA65EE"/>
    <w:rsid w:val="00FB3BBB"/>
    <w:rsid w:val="00FB75B1"/>
    <w:rsid w:val="00FC0710"/>
    <w:rsid w:val="00FC5DFE"/>
    <w:rsid w:val="00FD2721"/>
    <w:rsid w:val="26AA4522"/>
    <w:rsid w:val="2F3375AA"/>
    <w:rsid w:val="3C444DF5"/>
    <w:rsid w:val="55CD1F0A"/>
    <w:rsid w:val="61CB7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089EAA-3726-4259-B6E7-3DBB9254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qFormat/>
    <w:pPr>
      <w:jc w:val="left"/>
    </w:pPr>
  </w:style>
  <w:style w:type="paragraph" w:styleId="3">
    <w:name w:val="toc 3"/>
    <w:basedOn w:val="a"/>
    <w:next w:val="a"/>
    <w:uiPriority w:val="39"/>
    <w:unhideWhenUsed/>
    <w:qFormat/>
    <w:pPr>
      <w:spacing w:line="440" w:lineRule="exact"/>
      <w:ind w:firstLineChars="400" w:firstLine="400"/>
      <w:jc w:val="left"/>
    </w:pPr>
    <w:rPr>
      <w:rFonts w:eastAsia="宋体" w:cs="Times New Roman"/>
      <w:i/>
      <w:iCs/>
      <w:sz w:val="22"/>
      <w:szCs w:val="20"/>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pPr>
      <w:spacing w:before="120" w:after="120" w:line="440" w:lineRule="exact"/>
      <w:jc w:val="left"/>
    </w:pPr>
    <w:rPr>
      <w:rFonts w:eastAsia="宋体" w:cs="Times New Roman"/>
      <w:b/>
      <w:bCs/>
      <w:caps/>
      <w:sz w:val="22"/>
      <w:szCs w:val="20"/>
    </w:rPr>
  </w:style>
  <w:style w:type="paragraph" w:styleId="4">
    <w:name w:val="toc 4"/>
    <w:basedOn w:val="a"/>
    <w:next w:val="a"/>
    <w:uiPriority w:val="39"/>
    <w:unhideWhenUsed/>
    <w:qFormat/>
    <w:pPr>
      <w:spacing w:line="440" w:lineRule="exact"/>
      <w:ind w:firstLineChars="600" w:firstLine="600"/>
      <w:jc w:val="left"/>
    </w:pPr>
    <w:rPr>
      <w:rFonts w:eastAsia="宋体" w:cs="Times New Roman"/>
      <w:sz w:val="22"/>
      <w:szCs w:val="18"/>
    </w:rPr>
  </w:style>
  <w:style w:type="paragraph" w:styleId="2">
    <w:name w:val="toc 2"/>
    <w:basedOn w:val="a"/>
    <w:next w:val="a"/>
    <w:uiPriority w:val="39"/>
    <w:unhideWhenUsed/>
    <w:qFormat/>
    <w:pPr>
      <w:spacing w:line="440" w:lineRule="exact"/>
      <w:ind w:firstLineChars="200" w:firstLine="200"/>
      <w:jc w:val="left"/>
    </w:pPr>
    <w:rPr>
      <w:rFonts w:eastAsia="宋体" w:cs="Times New Roman"/>
      <w:smallCaps/>
      <w:sz w:val="22"/>
      <w:szCs w:val="20"/>
    </w:rPr>
  </w:style>
  <w:style w:type="character" w:styleId="a8">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character" w:customStyle="1" w:styleId="Char1">
    <w:name w:val="批注框文本 Char"/>
    <w:basedOn w:val="a0"/>
    <w:link w:val="a5"/>
    <w:uiPriority w:val="99"/>
    <w:semiHidden/>
    <w:qFormat/>
    <w:rPr>
      <w:sz w:val="18"/>
      <w:szCs w:val="18"/>
    </w:rPr>
  </w:style>
  <w:style w:type="paragraph" w:styleId="a9">
    <w:name w:val="List Paragraph"/>
    <w:basedOn w:val="a"/>
    <w:uiPriority w:val="99"/>
    <w:rsid w:val="00734070"/>
    <w:pPr>
      <w:ind w:firstLineChars="200" w:firstLine="420"/>
    </w:pPr>
  </w:style>
  <w:style w:type="character" w:styleId="aa">
    <w:name w:val="Emphasis"/>
    <w:basedOn w:val="a0"/>
    <w:uiPriority w:val="20"/>
    <w:qFormat/>
    <w:rsid w:val="00783EEF"/>
    <w:rPr>
      <w:i w:val="0"/>
      <w:iCs w:val="0"/>
      <w:color w:val="CC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MdlwC7A9nHAO9m5fare7DMrUZ9tm9oZ6n7qnrasb-yaIF6jy6_ysxNKsKtmP0t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aidu.com/link?url=Osxfa6iLTSjaXSjg80rTmAi_maS3Lq-9SPeGeGzoTmlJ_SYbuILcPxyB-_8vn0iApkSbQpQZhXFw4nRWJPEdpq"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3</Pages>
  <Words>365</Words>
  <Characters>2086</Characters>
  <Application>Microsoft Office Word</Application>
  <DocSecurity>0</DocSecurity>
  <Lines>17</Lines>
  <Paragraphs>4</Paragraphs>
  <ScaleCrop>false</ScaleCrop>
  <Company>中咨华源</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dc:creator>
  <cp:lastModifiedBy>SAND</cp:lastModifiedBy>
  <cp:revision>231</cp:revision>
  <cp:lastPrinted>2020-08-31T05:20:00Z</cp:lastPrinted>
  <dcterms:created xsi:type="dcterms:W3CDTF">2020-04-03T08:16:00Z</dcterms:created>
  <dcterms:modified xsi:type="dcterms:W3CDTF">2020-09-22T12:21:00Z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