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1CED7" w14:textId="6E7A17A7" w:rsidR="00FB3BBB" w:rsidRPr="00DA46E5" w:rsidRDefault="00B82A21">
      <w:pPr>
        <w:jc w:val="center"/>
        <w:rPr>
          <w:rFonts w:ascii="华文中宋" w:eastAsia="华文中宋" w:hAnsi="华文中宋"/>
          <w:b/>
          <w:color w:val="000000" w:themeColor="text1"/>
          <w:sz w:val="36"/>
          <w:szCs w:val="36"/>
        </w:rPr>
      </w:pPr>
      <w:r w:rsidRPr="00DA46E5">
        <w:rPr>
          <w:rFonts w:ascii="华文中宋" w:eastAsia="华文中宋" w:hAnsi="华文中宋" w:hint="eastAsia"/>
          <w:b/>
          <w:color w:val="000000" w:themeColor="text1"/>
          <w:sz w:val="36"/>
          <w:szCs w:val="36"/>
        </w:rPr>
        <w:t>招标控制价</w:t>
      </w:r>
      <w:r w:rsidR="00CF507A" w:rsidRPr="00DA46E5">
        <w:rPr>
          <w:rFonts w:ascii="华文中宋" w:eastAsia="华文中宋" w:hAnsi="华文中宋" w:hint="eastAsia"/>
          <w:b/>
          <w:color w:val="000000" w:themeColor="text1"/>
          <w:sz w:val="36"/>
          <w:szCs w:val="36"/>
        </w:rPr>
        <w:t>编制</w:t>
      </w:r>
      <w:r w:rsidR="00CF507A" w:rsidRPr="00DA46E5">
        <w:rPr>
          <w:rFonts w:ascii="华文中宋" w:eastAsia="华文中宋" w:hAnsi="华文中宋"/>
          <w:b/>
          <w:color w:val="000000" w:themeColor="text1"/>
          <w:sz w:val="36"/>
          <w:szCs w:val="36"/>
        </w:rPr>
        <w:t>说明</w:t>
      </w:r>
    </w:p>
    <w:p w14:paraId="656B6388" w14:textId="77777777" w:rsidR="00A04237" w:rsidRPr="00DA46E5" w:rsidRDefault="00A04237" w:rsidP="00A04237">
      <w:pPr>
        <w:numPr>
          <w:ilvl w:val="0"/>
          <w:numId w:val="1"/>
        </w:numPr>
        <w:adjustRightInd w:val="0"/>
        <w:snapToGrid w:val="0"/>
        <w:spacing w:beforeLines="100" w:before="312" w:line="44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工程概况</w:t>
      </w:r>
    </w:p>
    <w:p w14:paraId="3C322AC3" w14:textId="749EAA20" w:rsidR="00787059" w:rsidRPr="00DA46E5" w:rsidRDefault="00787059" w:rsidP="00044600">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工程名称：</w:t>
      </w:r>
      <w:bookmarkStart w:id="0" w:name="_GoBack"/>
      <w:bookmarkEnd w:id="0"/>
      <w:r w:rsidR="00044600" w:rsidRPr="00DA46E5">
        <w:rPr>
          <w:rFonts w:asciiTheme="minorEastAsia" w:hAnsiTheme="minorEastAsia" w:hint="eastAsia"/>
          <w:color w:val="000000" w:themeColor="text1"/>
          <w:szCs w:val="21"/>
        </w:rPr>
        <w:t>集团办公楼弱电灾备机房改造工程</w:t>
      </w:r>
    </w:p>
    <w:p w14:paraId="6B9F5C78" w14:textId="77777777" w:rsidR="00787059" w:rsidRPr="00DA46E5" w:rsidRDefault="00787059" w:rsidP="00787059">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建设单位：河南省机场集团有限公司</w:t>
      </w:r>
    </w:p>
    <w:p w14:paraId="5BAB5B6E" w14:textId="77777777" w:rsidR="00787059" w:rsidRPr="00DA46E5" w:rsidRDefault="00787059" w:rsidP="00787059">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工程概况：如下</w:t>
      </w:r>
      <w:r w:rsidRPr="00DA46E5">
        <w:rPr>
          <w:rFonts w:asciiTheme="minorEastAsia" w:hAnsiTheme="minorEastAsia"/>
          <w:color w:val="000000" w:themeColor="text1"/>
          <w:szCs w:val="21"/>
        </w:rPr>
        <w:t>：</w:t>
      </w:r>
    </w:p>
    <w:p w14:paraId="01A4CD6E"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系统概况</w:t>
      </w:r>
    </w:p>
    <w:p w14:paraId="2A69ABCF"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UPS配电系统主要为集团办公楼西配楼三楼</w:t>
      </w:r>
      <w:proofErr w:type="gramStart"/>
      <w:r w:rsidRPr="00DA46E5">
        <w:rPr>
          <w:rFonts w:ascii="宋体" w:eastAsia="宋体" w:hAnsi="宋体" w:cs="宋体" w:hint="eastAsia"/>
          <w:color w:val="000000" w:themeColor="text1"/>
        </w:rPr>
        <w:t>弱电灾备机房</w:t>
      </w:r>
      <w:proofErr w:type="gramEnd"/>
      <w:r w:rsidRPr="00DA46E5">
        <w:rPr>
          <w:rFonts w:ascii="宋体" w:eastAsia="宋体" w:hAnsi="宋体" w:cs="宋体" w:hint="eastAsia"/>
          <w:color w:val="000000" w:themeColor="text1"/>
        </w:rPr>
        <w:t>的信息弱电设备提供一套优质可靠的电源，UPS电源进线采用两路不同市电供电。UPS电源在电网正常时能够给负载提供高质量的交流电源，在电网异常时将后备电池组的直流能量转化为稳定的交流电源供给负载设备使用，并且在电网掉电过程中与静态旁路切换时可以做到供电无间断，确保负载的安全运行。UPS电源除了可以解决上述的交流供电中断的影响外，还可以消除正常交流电网供电中的各种高频杂波、电压浪涌、陷落、瞬间断电等电力干扰对信息设备的危害，向负载提供稳压精度高、稳频、波形失真度小的高质量电源，以确保信息弱电系统安全稳定运行。</w:t>
      </w:r>
    </w:p>
    <w:p w14:paraId="32F0FC8B"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实施范围</w:t>
      </w:r>
    </w:p>
    <w:p w14:paraId="62152564"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UPS电源系统：</w:t>
      </w:r>
    </w:p>
    <w:p w14:paraId="60485B0F"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新增两台200KVA UPS电源主机，采用</w:t>
      </w:r>
      <w:proofErr w:type="gramStart"/>
      <w:r w:rsidRPr="00DA46E5">
        <w:rPr>
          <w:rFonts w:ascii="宋体" w:eastAsia="宋体" w:hAnsi="宋体" w:cs="宋体" w:hint="eastAsia"/>
          <w:color w:val="000000" w:themeColor="text1"/>
        </w:rPr>
        <w:t>单机双</w:t>
      </w:r>
      <w:proofErr w:type="gramEnd"/>
      <w:r w:rsidRPr="00DA46E5">
        <w:rPr>
          <w:rFonts w:ascii="宋体" w:eastAsia="宋体" w:hAnsi="宋体" w:cs="宋体" w:hint="eastAsia"/>
          <w:color w:val="000000" w:themeColor="text1"/>
        </w:rPr>
        <w:t>母线运行模式（详见设计图纸），安装配套高功率铅酸蓄电池组，单机满负载运行所需后备时长≥30分钟（含配套直流电池开关箱、电池连接线、电源主机及电池组承重支架等辅材）。</w:t>
      </w:r>
    </w:p>
    <w:p w14:paraId="52DA3BFE"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配电系统：</w:t>
      </w:r>
    </w:p>
    <w:p w14:paraId="193C6E8B"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上游市电输入——根据现场UPS电源运行模式，从集团办公楼主楼1#低压配电室内1AA106、1AA206配电柜400A抽屉开关各一处（</w:t>
      </w:r>
      <w:proofErr w:type="gramStart"/>
      <w:r w:rsidRPr="00DA46E5">
        <w:rPr>
          <w:rFonts w:ascii="宋体" w:eastAsia="宋体" w:hAnsi="宋体" w:cs="宋体" w:hint="eastAsia"/>
          <w:color w:val="000000" w:themeColor="text1"/>
        </w:rPr>
        <w:t>含端接</w:t>
      </w:r>
      <w:proofErr w:type="gramEnd"/>
      <w:r w:rsidRPr="00DA46E5">
        <w:rPr>
          <w:rFonts w:ascii="宋体" w:eastAsia="宋体" w:hAnsi="宋体" w:cs="宋体" w:hint="eastAsia"/>
          <w:color w:val="000000" w:themeColor="text1"/>
        </w:rPr>
        <w:t>）分别引出2根（4×185+1×95）</w:t>
      </w:r>
      <w:proofErr w:type="gramStart"/>
      <w:r w:rsidRPr="00DA46E5">
        <w:rPr>
          <w:rFonts w:ascii="宋体" w:eastAsia="宋体" w:hAnsi="宋体" w:cs="宋体" w:hint="eastAsia"/>
          <w:color w:val="000000" w:themeColor="text1"/>
        </w:rPr>
        <w:t>低烟无卤</w:t>
      </w:r>
      <w:proofErr w:type="gramEnd"/>
      <w:r w:rsidRPr="00DA46E5">
        <w:rPr>
          <w:rFonts w:ascii="宋体" w:eastAsia="宋体" w:hAnsi="宋体" w:cs="宋体" w:hint="eastAsia"/>
          <w:color w:val="000000" w:themeColor="text1"/>
        </w:rPr>
        <w:t>阻燃电源线经室内水平部分（原</w:t>
      </w:r>
      <w:proofErr w:type="gramStart"/>
      <w:r w:rsidRPr="00DA46E5">
        <w:rPr>
          <w:rFonts w:ascii="宋体" w:eastAsia="宋体" w:hAnsi="宋体" w:cs="宋体" w:hint="eastAsia"/>
          <w:color w:val="000000" w:themeColor="text1"/>
        </w:rPr>
        <w:t>上进上</w:t>
      </w:r>
      <w:proofErr w:type="gramEnd"/>
      <w:r w:rsidRPr="00DA46E5">
        <w:rPr>
          <w:rFonts w:ascii="宋体" w:eastAsia="宋体" w:hAnsi="宋体" w:cs="宋体" w:hint="eastAsia"/>
          <w:color w:val="000000" w:themeColor="text1"/>
        </w:rPr>
        <w:t>出）强电桥</w:t>
      </w:r>
      <w:proofErr w:type="gramStart"/>
      <w:r w:rsidRPr="00DA46E5">
        <w:rPr>
          <w:rFonts w:ascii="宋体" w:eastAsia="宋体" w:hAnsi="宋体" w:cs="宋体" w:hint="eastAsia"/>
          <w:color w:val="000000" w:themeColor="text1"/>
        </w:rPr>
        <w:t>架利旧使用</w:t>
      </w:r>
      <w:proofErr w:type="gramEnd"/>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垂直部分需新敷设路由强电桥架</w:t>
      </w:r>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西配楼1F UPS间内新增2套接电箱（内置汇流排）</w:t>
      </w:r>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UPS输入柜（内置ATS、各回路断路器、智能仪表等元器件）；下游输出——替换现用UPS输出一、二级配电柜（AU-1-UPS1、AU-1-UPS2、AU-3-RD1、AU-3-RD2）内160A断路器为400A/36KA/3P/320A，替换现用输出电缆为2根（4×150+1×70）</w:t>
      </w:r>
      <w:proofErr w:type="gramStart"/>
      <w:r w:rsidRPr="00DA46E5">
        <w:rPr>
          <w:rFonts w:ascii="宋体" w:eastAsia="宋体" w:hAnsi="宋体" w:cs="宋体" w:hint="eastAsia"/>
          <w:color w:val="000000" w:themeColor="text1"/>
        </w:rPr>
        <w:t>低烟无卤</w:t>
      </w:r>
      <w:proofErr w:type="gramEnd"/>
      <w:r w:rsidRPr="00DA46E5">
        <w:rPr>
          <w:rFonts w:ascii="宋体" w:eastAsia="宋体" w:hAnsi="宋体" w:cs="宋体" w:hint="eastAsia"/>
          <w:color w:val="000000" w:themeColor="text1"/>
        </w:rPr>
        <w:t>阻燃电源线，UPS输出端的路由桥架、一二级配电柜及柜内其它配套元器件</w:t>
      </w:r>
      <w:proofErr w:type="gramStart"/>
      <w:r w:rsidRPr="00DA46E5">
        <w:rPr>
          <w:rFonts w:ascii="宋体" w:eastAsia="宋体" w:hAnsi="宋体" w:cs="宋体" w:hint="eastAsia"/>
          <w:color w:val="000000" w:themeColor="text1"/>
        </w:rPr>
        <w:t>均利旧使用</w:t>
      </w:r>
      <w:proofErr w:type="gramEnd"/>
      <w:r w:rsidRPr="00DA46E5">
        <w:rPr>
          <w:rFonts w:ascii="宋体" w:eastAsia="宋体" w:hAnsi="宋体" w:cs="宋体" w:hint="eastAsia"/>
          <w:color w:val="000000" w:themeColor="text1"/>
        </w:rPr>
        <w:t>。新增路由桥架及替换电缆途径所需的穿墙打洞、</w:t>
      </w:r>
      <w:r w:rsidRPr="00DA46E5">
        <w:rPr>
          <w:rFonts w:ascii="宋体" w:eastAsia="宋体" w:hAnsi="宋体" w:cs="宋体" w:hint="eastAsia"/>
          <w:color w:val="000000" w:themeColor="text1"/>
        </w:rPr>
        <w:lastRenderedPageBreak/>
        <w:t>防火封堵、标识标牌等配套作业亦由投标人负责实施。</w:t>
      </w:r>
    </w:p>
    <w:p w14:paraId="3E699A38"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UPS间改造：</w:t>
      </w:r>
    </w:p>
    <w:p w14:paraId="744E3A5F"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根据设计平面图中设备摆放位置布局的调整，投标人须对原有UPS电源设备（含铅酸电池组）、原市电配电柜AT-1-UPS2及配套电源桥架进行拆除，并按招标人要求运输至指定位置，做好搬运期间设施设备保护措施。原市电配电柜AT-1-UPS1保留改造为室内精密空调专用输入柜，原AT-1-UPS2柜内供精密空调02单一回路使用的空开迁移安装至AT-1-UPS1</w:t>
      </w:r>
      <w:proofErr w:type="gramStart"/>
      <w:r w:rsidRPr="00DA46E5">
        <w:rPr>
          <w:rFonts w:ascii="宋体" w:eastAsia="宋体" w:hAnsi="宋体" w:cs="宋体" w:hint="eastAsia"/>
          <w:color w:val="000000" w:themeColor="text1"/>
        </w:rPr>
        <w:t>柜内利旧使用</w:t>
      </w:r>
      <w:proofErr w:type="gramEnd"/>
      <w:r w:rsidRPr="00DA46E5">
        <w:rPr>
          <w:rFonts w:ascii="宋体" w:eastAsia="宋体" w:hAnsi="宋体" w:cs="宋体" w:hint="eastAsia"/>
          <w:color w:val="000000" w:themeColor="text1"/>
        </w:rPr>
        <w:t>，两台精密空调配套使用的供电线</w:t>
      </w:r>
      <w:proofErr w:type="gramStart"/>
      <w:r w:rsidRPr="00DA46E5">
        <w:rPr>
          <w:rFonts w:ascii="宋体" w:eastAsia="宋体" w:hAnsi="宋体" w:cs="宋体" w:hint="eastAsia"/>
          <w:color w:val="000000" w:themeColor="text1"/>
        </w:rPr>
        <w:t>缆须适</w:t>
      </w:r>
      <w:proofErr w:type="gramEnd"/>
      <w:r w:rsidRPr="00DA46E5">
        <w:rPr>
          <w:rFonts w:ascii="宋体" w:eastAsia="宋体" w:hAnsi="宋体" w:cs="宋体" w:hint="eastAsia"/>
          <w:color w:val="000000" w:themeColor="text1"/>
        </w:rPr>
        <w:t>配房间布局和新敷设的电源桥架调整原布线方式，投标人须负责对室内电源桥架、防静电地板、保温层、接地铜排进行改造更换，注重UPS间内未涉及改造部分的成品保护，室内精密空调、</w:t>
      </w:r>
      <w:proofErr w:type="gramStart"/>
      <w:r w:rsidRPr="00DA46E5">
        <w:rPr>
          <w:rFonts w:ascii="宋体" w:eastAsia="宋体" w:hAnsi="宋体" w:cs="宋体" w:hint="eastAsia"/>
          <w:color w:val="000000" w:themeColor="text1"/>
        </w:rPr>
        <w:t>动环监控系统</w:t>
      </w:r>
      <w:proofErr w:type="gramEnd"/>
      <w:r w:rsidRPr="00DA46E5">
        <w:rPr>
          <w:rFonts w:ascii="宋体" w:eastAsia="宋体" w:hAnsi="宋体" w:cs="宋体" w:hint="eastAsia"/>
          <w:color w:val="000000" w:themeColor="text1"/>
        </w:rPr>
        <w:t>终端数据采集设备要</w:t>
      </w:r>
      <w:proofErr w:type="gramStart"/>
      <w:r w:rsidRPr="00DA46E5">
        <w:rPr>
          <w:rFonts w:ascii="宋体" w:eastAsia="宋体" w:hAnsi="宋体" w:cs="宋体" w:hint="eastAsia"/>
          <w:color w:val="000000" w:themeColor="text1"/>
        </w:rPr>
        <w:t>求利旧使用</w:t>
      </w:r>
      <w:proofErr w:type="gramEnd"/>
      <w:r w:rsidRPr="00DA46E5">
        <w:rPr>
          <w:rFonts w:ascii="宋体" w:eastAsia="宋体" w:hAnsi="宋体" w:cs="宋体" w:hint="eastAsia"/>
          <w:color w:val="000000" w:themeColor="text1"/>
        </w:rPr>
        <w:t>且对新增设备实现统一纳管。</w:t>
      </w:r>
    </w:p>
    <w:p w14:paraId="78223B28"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工作内容</w:t>
      </w:r>
    </w:p>
    <w:p w14:paraId="5444560E"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投标人必须按照本技术规格书的要求在规定的项目进度计划期限内完成以下工作内容：</w:t>
      </w:r>
    </w:p>
    <w:p w14:paraId="5CA63FE9"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为满足系统完整性需完成二次深化设计包含但不限于：各类线材的实测长度，接电箱内铜排/汇流排安装、端接方式，UPS间内各配电柜（箱）设备规格尺寸、安装位置、内部元器件安装空间及配套桥架/线槽的敷设；</w:t>
      </w:r>
    </w:p>
    <w:p w14:paraId="70EEABE7"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设备与材料的制造供应及其运输、包装、仓储；</w:t>
      </w:r>
    </w:p>
    <w:p w14:paraId="0F45AA17"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各系统设备的配置、初始化设置、调试和测试；</w:t>
      </w:r>
    </w:p>
    <w:p w14:paraId="7E9B00DB"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项目正式验收移交招标人之前的试运行和系统维护；</w:t>
      </w:r>
    </w:p>
    <w:p w14:paraId="1B7CBCDC"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系统的技术培训和各子系统验收移交后的技术服务与支持；</w:t>
      </w:r>
    </w:p>
    <w:p w14:paraId="1B65FB99"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编制</w:t>
      </w:r>
      <w:r w:rsidRPr="00DA46E5">
        <w:rPr>
          <w:rFonts w:ascii="宋体" w:eastAsia="宋体" w:hAnsi="宋体" w:cs="宋体"/>
          <w:color w:val="000000" w:themeColor="text1"/>
        </w:rPr>
        <w:t>集团办公楼</w:t>
      </w:r>
      <w:proofErr w:type="gramStart"/>
      <w:r w:rsidRPr="00DA46E5">
        <w:rPr>
          <w:rFonts w:ascii="宋体" w:eastAsia="宋体" w:hAnsi="宋体" w:cs="宋体"/>
          <w:color w:val="000000" w:themeColor="text1"/>
        </w:rPr>
        <w:t>弱电灾备机房</w:t>
      </w:r>
      <w:proofErr w:type="gramEnd"/>
      <w:r w:rsidRPr="00DA46E5">
        <w:rPr>
          <w:rFonts w:ascii="宋体" w:eastAsia="宋体" w:hAnsi="宋体" w:cs="宋体"/>
          <w:color w:val="000000" w:themeColor="text1"/>
        </w:rPr>
        <w:t>改造项目</w:t>
      </w:r>
      <w:r w:rsidRPr="00DA46E5">
        <w:rPr>
          <w:rFonts w:ascii="宋体" w:eastAsia="宋体" w:hAnsi="宋体" w:cs="宋体" w:hint="eastAsia"/>
          <w:color w:val="000000" w:themeColor="text1"/>
        </w:rPr>
        <w:t>的竣工图及竣工资料；</w:t>
      </w:r>
    </w:p>
    <w:p w14:paraId="3271CE7C"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上述工作所需的附件、工具、备品、备件、资料、档案的提供。</w:t>
      </w:r>
    </w:p>
    <w:p w14:paraId="60976ADC" w14:textId="77777777" w:rsidR="00A04237" w:rsidRPr="00DA46E5" w:rsidRDefault="00A04237" w:rsidP="00A04237">
      <w:pPr>
        <w:numPr>
          <w:ilvl w:val="0"/>
          <w:numId w:val="1"/>
        </w:numPr>
        <w:adjustRightInd w:val="0"/>
        <w:snapToGrid w:val="0"/>
        <w:spacing w:beforeLines="100" w:before="312" w:line="44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编制范围及</w:t>
      </w:r>
      <w:r w:rsidRPr="00DA46E5">
        <w:rPr>
          <w:rFonts w:asciiTheme="minorEastAsia" w:hAnsiTheme="minorEastAsia"/>
          <w:b/>
          <w:color w:val="000000" w:themeColor="text1"/>
          <w:szCs w:val="21"/>
        </w:rPr>
        <w:t>计算界限</w:t>
      </w:r>
    </w:p>
    <w:p w14:paraId="41F6930C" w14:textId="1E284F55" w:rsidR="001A19C1" w:rsidRPr="00DA46E5" w:rsidRDefault="001A19C1" w:rsidP="001A19C1">
      <w:pPr>
        <w:widowControl/>
        <w:adjustRightInd w:val="0"/>
        <w:snapToGrid w:val="0"/>
        <w:spacing w:line="500" w:lineRule="exact"/>
        <w:ind w:firstLineChars="200" w:firstLine="420"/>
        <w:rPr>
          <w:rFonts w:ascii="宋体" w:hAnsi="宋体"/>
          <w:color w:val="000000" w:themeColor="text1"/>
          <w:szCs w:val="21"/>
        </w:rPr>
      </w:pPr>
      <w:r w:rsidRPr="00DA46E5">
        <w:rPr>
          <w:rFonts w:asciiTheme="minorEastAsia" w:hAnsiTheme="minorEastAsia" w:hint="eastAsia"/>
          <w:color w:val="000000" w:themeColor="text1"/>
          <w:szCs w:val="21"/>
        </w:rPr>
        <w:t>施工图纸</w:t>
      </w:r>
      <w:r w:rsidRPr="00DA46E5">
        <w:rPr>
          <w:rFonts w:asciiTheme="minorEastAsia" w:hAnsiTheme="minorEastAsia"/>
          <w:color w:val="000000" w:themeColor="text1"/>
          <w:szCs w:val="21"/>
        </w:rPr>
        <w:t>设计的所有内容。</w:t>
      </w:r>
    </w:p>
    <w:p w14:paraId="1D688121" w14:textId="77777777" w:rsidR="001370A5" w:rsidRPr="00DA46E5" w:rsidRDefault="001370A5" w:rsidP="001370A5">
      <w:pPr>
        <w:numPr>
          <w:ilvl w:val="0"/>
          <w:numId w:val="1"/>
        </w:numPr>
        <w:adjustRightInd w:val="0"/>
        <w:snapToGrid w:val="0"/>
        <w:spacing w:beforeLines="100" w:before="312" w:line="50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编制依据及有关费用的编制办法</w:t>
      </w:r>
    </w:p>
    <w:p w14:paraId="4D2EA202" w14:textId="67250CE2"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清单依据为《建设工程工程量清单计价规范》（GB 50500-2013）、《房屋建筑与装饰工程工程量计算规范》（GB 50854-2013）、</w:t>
      </w:r>
      <w:r w:rsidRPr="00DA46E5">
        <w:rPr>
          <w:rFonts w:asciiTheme="minorEastAsia" w:hAnsiTheme="minorEastAsia"/>
          <w:color w:val="000000" w:themeColor="text1"/>
          <w:szCs w:val="21"/>
        </w:rPr>
        <w:t>《通用安装工程工程量计算规范》</w:t>
      </w:r>
      <w:r w:rsidRPr="00DA46E5">
        <w:rPr>
          <w:rFonts w:asciiTheme="minorEastAsia" w:hAnsiTheme="minorEastAsia" w:hint="eastAsia"/>
          <w:color w:val="000000" w:themeColor="text1"/>
          <w:szCs w:val="21"/>
        </w:rPr>
        <w:t>（</w:t>
      </w:r>
      <w:hyperlink r:id="rId8" w:tgtFrame="_blank" w:history="1">
        <w:r w:rsidRPr="00DA46E5">
          <w:rPr>
            <w:rFonts w:asciiTheme="minorEastAsia" w:hAnsiTheme="minorEastAsia"/>
            <w:color w:val="000000" w:themeColor="text1"/>
            <w:szCs w:val="21"/>
          </w:rPr>
          <w:t>GB 50856-2013</w:t>
        </w:r>
      </w:hyperlink>
      <w:r w:rsidRPr="00DA46E5">
        <w:rPr>
          <w:rFonts w:asciiTheme="minorEastAsia" w:hAnsiTheme="minorEastAsia" w:hint="eastAsia"/>
          <w:color w:val="000000" w:themeColor="text1"/>
          <w:szCs w:val="21"/>
        </w:rPr>
        <w:t>）</w:t>
      </w:r>
      <w:r w:rsidR="006375AF" w:rsidRPr="00DA46E5">
        <w:rPr>
          <w:rFonts w:asciiTheme="minorEastAsia" w:hAnsiTheme="minorEastAsia" w:hint="eastAsia"/>
          <w:color w:val="000000" w:themeColor="text1"/>
          <w:szCs w:val="21"/>
        </w:rPr>
        <w:t>、</w:t>
      </w:r>
      <w:hyperlink r:id="rId9" w:tgtFrame="_blank" w:history="1">
        <w:r w:rsidR="00487D23" w:rsidRPr="00DA46E5">
          <w:rPr>
            <w:rFonts w:asciiTheme="minorEastAsia" w:hAnsiTheme="minorEastAsia"/>
            <w:color w:val="000000" w:themeColor="text1"/>
            <w:szCs w:val="21"/>
          </w:rPr>
          <w:t>《城市轨道交通工程工程量计算规范》</w:t>
        </w:r>
      </w:hyperlink>
      <w:r w:rsidR="00487D23" w:rsidRPr="00DA46E5">
        <w:rPr>
          <w:rFonts w:asciiTheme="minorEastAsia" w:hAnsiTheme="minorEastAsia" w:hint="eastAsia"/>
          <w:color w:val="000000" w:themeColor="text1"/>
          <w:szCs w:val="21"/>
        </w:rPr>
        <w:t>（</w:t>
      </w:r>
      <w:r w:rsidR="00487D23" w:rsidRPr="00DA46E5">
        <w:rPr>
          <w:rFonts w:asciiTheme="minorEastAsia" w:hAnsiTheme="minorEastAsia"/>
          <w:color w:val="000000" w:themeColor="text1"/>
          <w:szCs w:val="21"/>
        </w:rPr>
        <w:t>GB50861-2013</w:t>
      </w:r>
      <w:r w:rsidR="00487D23" w:rsidRPr="00DA46E5">
        <w:rPr>
          <w:rFonts w:asciiTheme="minorEastAsia" w:hAnsiTheme="minorEastAsia" w:hint="eastAsia"/>
          <w:color w:val="000000" w:themeColor="text1"/>
          <w:szCs w:val="21"/>
        </w:rPr>
        <w:t>）</w:t>
      </w:r>
      <w:r w:rsidRPr="00DA46E5">
        <w:rPr>
          <w:rFonts w:asciiTheme="minorEastAsia" w:hAnsiTheme="minorEastAsia" w:hint="eastAsia"/>
          <w:color w:val="000000" w:themeColor="text1"/>
          <w:szCs w:val="21"/>
        </w:rPr>
        <w:t>及其配套执行</w:t>
      </w:r>
      <w:r w:rsidRPr="00DA46E5">
        <w:rPr>
          <w:rFonts w:asciiTheme="minorEastAsia" w:hAnsiTheme="minorEastAsia"/>
          <w:color w:val="000000" w:themeColor="text1"/>
          <w:szCs w:val="21"/>
        </w:rPr>
        <w:t>的相关文件</w:t>
      </w:r>
    </w:p>
    <w:p w14:paraId="110A0A76" w14:textId="4230F1B8"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proofErr w:type="gramStart"/>
      <w:r w:rsidRPr="00DA46E5">
        <w:rPr>
          <w:rFonts w:asciiTheme="minorEastAsia" w:hAnsiTheme="minorEastAsia" w:hint="eastAsia"/>
          <w:color w:val="000000" w:themeColor="text1"/>
          <w:szCs w:val="21"/>
        </w:rPr>
        <w:t>组价依据</w:t>
      </w:r>
      <w:proofErr w:type="gramEnd"/>
      <w:r w:rsidRPr="00DA46E5">
        <w:rPr>
          <w:rFonts w:asciiTheme="minorEastAsia" w:hAnsiTheme="minorEastAsia" w:hint="eastAsia"/>
          <w:color w:val="000000" w:themeColor="text1"/>
          <w:szCs w:val="21"/>
        </w:rPr>
        <w:t>为《河南省房屋</w:t>
      </w:r>
      <w:r w:rsidRPr="00DA46E5">
        <w:rPr>
          <w:rFonts w:asciiTheme="minorEastAsia" w:hAnsiTheme="minorEastAsia"/>
          <w:color w:val="000000" w:themeColor="text1"/>
          <w:szCs w:val="21"/>
        </w:rPr>
        <w:t>建筑与装饰工程预算定额</w:t>
      </w:r>
      <w:r w:rsidRPr="00DA46E5">
        <w:rPr>
          <w:rFonts w:asciiTheme="minorEastAsia" w:hAnsiTheme="minorEastAsia" w:hint="eastAsia"/>
          <w:color w:val="000000" w:themeColor="text1"/>
          <w:szCs w:val="21"/>
        </w:rPr>
        <w:t>》（HA 01-31-2016）、《河南省</w:t>
      </w:r>
      <w:r w:rsidRPr="00DA46E5">
        <w:rPr>
          <w:rFonts w:asciiTheme="minorEastAsia" w:hAnsiTheme="minorEastAsia"/>
          <w:color w:val="000000" w:themeColor="text1"/>
          <w:szCs w:val="21"/>
        </w:rPr>
        <w:t>通用安装工程预算定额</w:t>
      </w:r>
      <w:r w:rsidRPr="00DA46E5">
        <w:rPr>
          <w:rFonts w:asciiTheme="minorEastAsia" w:hAnsiTheme="minorEastAsia" w:hint="eastAsia"/>
          <w:color w:val="000000" w:themeColor="text1"/>
          <w:szCs w:val="21"/>
        </w:rPr>
        <w:t>》（HA 02-31-2016）</w:t>
      </w:r>
      <w:r w:rsidR="00997748" w:rsidRPr="00DA46E5">
        <w:rPr>
          <w:rFonts w:asciiTheme="minorEastAsia" w:hAnsiTheme="minorEastAsia" w:hint="eastAsia"/>
          <w:color w:val="000000" w:themeColor="text1"/>
          <w:szCs w:val="21"/>
        </w:rPr>
        <w:t>、</w:t>
      </w:r>
      <w:r w:rsidR="00783EEF" w:rsidRPr="00DA46E5">
        <w:rPr>
          <w:rFonts w:asciiTheme="minorEastAsia" w:hAnsiTheme="minorEastAsia"/>
          <w:color w:val="000000" w:themeColor="text1"/>
          <w:szCs w:val="21"/>
        </w:rPr>
        <w:t>《河南省城市轨道交通工程预算定额》</w:t>
      </w:r>
      <w:r w:rsidR="00783EEF" w:rsidRPr="00DA46E5">
        <w:rPr>
          <w:rFonts w:asciiTheme="minorEastAsia" w:hAnsiTheme="minorEastAsia" w:hint="eastAsia"/>
          <w:color w:val="000000" w:themeColor="text1"/>
          <w:szCs w:val="21"/>
        </w:rPr>
        <w:t>（</w:t>
      </w:r>
      <w:r w:rsidR="00783EEF" w:rsidRPr="00DA46E5">
        <w:rPr>
          <w:rFonts w:asciiTheme="minorEastAsia" w:hAnsiTheme="minorEastAsia"/>
          <w:color w:val="000000" w:themeColor="text1"/>
          <w:szCs w:val="21"/>
        </w:rPr>
        <w:t>HA A3-31-2019</w:t>
      </w:r>
      <w:r w:rsidR="00783EEF" w:rsidRPr="00DA46E5">
        <w:rPr>
          <w:rFonts w:asciiTheme="minorEastAsia" w:hAnsiTheme="minorEastAsia" w:hint="eastAsia"/>
          <w:color w:val="000000" w:themeColor="text1"/>
          <w:szCs w:val="21"/>
        </w:rPr>
        <w:t>）</w:t>
      </w:r>
      <w:r w:rsidRPr="00DA46E5">
        <w:rPr>
          <w:rFonts w:asciiTheme="minorEastAsia" w:hAnsiTheme="minorEastAsia" w:hint="eastAsia"/>
          <w:color w:val="000000" w:themeColor="text1"/>
          <w:szCs w:val="21"/>
        </w:rPr>
        <w:t>及其各自配套执行的费用定额和有关文件编制。</w:t>
      </w:r>
    </w:p>
    <w:p w14:paraId="493FFB47"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设计图纸及相关规范、标准、技术资料。</w:t>
      </w:r>
    </w:p>
    <w:p w14:paraId="3697A54A" w14:textId="556B402C"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材料价格参考《郑州市建设</w:t>
      </w:r>
      <w:r w:rsidRPr="00DA46E5">
        <w:rPr>
          <w:rFonts w:asciiTheme="minorEastAsia" w:hAnsiTheme="minorEastAsia"/>
          <w:color w:val="000000" w:themeColor="text1"/>
          <w:szCs w:val="21"/>
        </w:rPr>
        <w:t>工程材料价格信息</w:t>
      </w:r>
      <w:r w:rsidRPr="00DA46E5">
        <w:rPr>
          <w:rFonts w:asciiTheme="minorEastAsia" w:hAnsiTheme="minorEastAsia" w:hint="eastAsia"/>
          <w:color w:val="000000" w:themeColor="text1"/>
          <w:szCs w:val="21"/>
        </w:rPr>
        <w:t>》2020年·</w:t>
      </w:r>
      <w:r w:rsidR="00C80A16" w:rsidRPr="00DA46E5">
        <w:rPr>
          <w:rFonts w:asciiTheme="minorEastAsia" w:hAnsiTheme="minorEastAsia"/>
          <w:color w:val="000000" w:themeColor="text1"/>
          <w:szCs w:val="21"/>
        </w:rPr>
        <w:t>6</w:t>
      </w:r>
      <w:r w:rsidRPr="00DA46E5">
        <w:rPr>
          <w:rFonts w:asciiTheme="minorEastAsia" w:hAnsiTheme="minorEastAsia" w:hint="eastAsia"/>
          <w:color w:val="000000" w:themeColor="text1"/>
          <w:szCs w:val="21"/>
        </w:rPr>
        <w:t>月份/20</w:t>
      </w:r>
      <w:r w:rsidRPr="00DA46E5">
        <w:rPr>
          <w:rFonts w:asciiTheme="minorEastAsia" w:hAnsiTheme="minorEastAsia"/>
          <w:color w:val="000000" w:themeColor="text1"/>
          <w:szCs w:val="21"/>
        </w:rPr>
        <w:t>20</w:t>
      </w:r>
      <w:r w:rsidRPr="00DA46E5">
        <w:rPr>
          <w:rFonts w:asciiTheme="minorEastAsia" w:hAnsiTheme="minorEastAsia" w:hint="eastAsia"/>
          <w:color w:val="000000" w:themeColor="text1"/>
          <w:szCs w:val="21"/>
        </w:rPr>
        <w:t>年·</w:t>
      </w:r>
      <w:r w:rsidRPr="00DA46E5">
        <w:rPr>
          <w:rFonts w:asciiTheme="minorEastAsia" w:hAnsiTheme="minorEastAsia"/>
          <w:color w:val="000000" w:themeColor="text1"/>
          <w:szCs w:val="21"/>
        </w:rPr>
        <w:t>第</w:t>
      </w:r>
      <w:r w:rsidRPr="00DA46E5">
        <w:rPr>
          <w:rFonts w:asciiTheme="minorEastAsia" w:hAnsiTheme="minorEastAsia" w:hint="eastAsia"/>
          <w:color w:val="000000" w:themeColor="text1"/>
          <w:szCs w:val="21"/>
        </w:rPr>
        <w:t>一</w:t>
      </w:r>
      <w:r w:rsidRPr="00DA46E5">
        <w:rPr>
          <w:rFonts w:asciiTheme="minorEastAsia" w:hAnsiTheme="minorEastAsia"/>
          <w:color w:val="000000" w:themeColor="text1"/>
          <w:szCs w:val="21"/>
        </w:rPr>
        <w:t>季度</w:t>
      </w:r>
      <w:r w:rsidRPr="00DA46E5">
        <w:rPr>
          <w:rFonts w:asciiTheme="minorEastAsia" w:hAnsiTheme="minorEastAsia" w:hint="eastAsia"/>
          <w:color w:val="000000" w:themeColor="text1"/>
          <w:szCs w:val="21"/>
        </w:rPr>
        <w:t>价格；其没有</w:t>
      </w:r>
      <w:proofErr w:type="gramStart"/>
      <w:r w:rsidRPr="00DA46E5">
        <w:rPr>
          <w:rFonts w:asciiTheme="minorEastAsia" w:hAnsiTheme="minorEastAsia" w:hint="eastAsia"/>
          <w:color w:val="000000" w:themeColor="text1"/>
          <w:szCs w:val="21"/>
        </w:rPr>
        <w:t>信息价</w:t>
      </w:r>
      <w:proofErr w:type="gramEnd"/>
      <w:r w:rsidRPr="00DA46E5">
        <w:rPr>
          <w:rFonts w:asciiTheme="minorEastAsia" w:hAnsiTheme="minorEastAsia" w:hint="eastAsia"/>
          <w:color w:val="000000" w:themeColor="text1"/>
          <w:szCs w:val="21"/>
        </w:rPr>
        <w:t>的材料，按市场询价</w:t>
      </w:r>
      <w:r w:rsidR="00DC3A96" w:rsidRPr="00DA46E5">
        <w:rPr>
          <w:rFonts w:asciiTheme="minorEastAsia" w:hAnsiTheme="minorEastAsia" w:hint="eastAsia"/>
          <w:color w:val="000000" w:themeColor="text1"/>
          <w:szCs w:val="21"/>
        </w:rPr>
        <w:t>平均值</w:t>
      </w:r>
      <w:r w:rsidR="00B94D9E" w:rsidRPr="00DA46E5">
        <w:rPr>
          <w:rFonts w:asciiTheme="minorEastAsia" w:hAnsiTheme="minorEastAsia" w:hint="eastAsia"/>
          <w:color w:val="000000" w:themeColor="text1"/>
          <w:szCs w:val="21"/>
        </w:rPr>
        <w:t>扣税</w:t>
      </w:r>
      <w:r w:rsidR="00B94D9E" w:rsidRPr="00DA46E5">
        <w:rPr>
          <w:rFonts w:asciiTheme="minorEastAsia" w:hAnsiTheme="minorEastAsia"/>
          <w:color w:val="000000" w:themeColor="text1"/>
          <w:szCs w:val="21"/>
        </w:rPr>
        <w:t>（</w:t>
      </w:r>
      <w:r w:rsidR="00B94D9E" w:rsidRPr="00DA46E5">
        <w:rPr>
          <w:rFonts w:asciiTheme="minorEastAsia" w:hAnsiTheme="minorEastAsia" w:hint="eastAsia"/>
          <w:color w:val="000000" w:themeColor="text1"/>
          <w:szCs w:val="21"/>
        </w:rPr>
        <w:t>13</w:t>
      </w:r>
      <w:r w:rsidR="00B94D9E" w:rsidRPr="00DA46E5">
        <w:rPr>
          <w:rFonts w:asciiTheme="minorEastAsia" w:hAnsiTheme="minorEastAsia"/>
          <w:color w:val="000000" w:themeColor="text1"/>
          <w:szCs w:val="21"/>
        </w:rPr>
        <w:t>%）</w:t>
      </w:r>
      <w:r w:rsidRPr="00DA46E5">
        <w:rPr>
          <w:rFonts w:asciiTheme="minorEastAsia" w:hAnsiTheme="minorEastAsia" w:hint="eastAsia"/>
          <w:color w:val="000000" w:themeColor="text1"/>
          <w:szCs w:val="21"/>
        </w:rPr>
        <w:t>计取</w:t>
      </w:r>
      <w:r w:rsidRPr="00DA46E5">
        <w:rPr>
          <w:rFonts w:asciiTheme="minorEastAsia" w:hAnsiTheme="minorEastAsia"/>
          <w:color w:val="000000" w:themeColor="text1"/>
          <w:szCs w:val="21"/>
        </w:rPr>
        <w:t>。</w:t>
      </w:r>
    </w:p>
    <w:p w14:paraId="72ACE132"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人工费、</w:t>
      </w:r>
      <w:r w:rsidRPr="00DA46E5">
        <w:rPr>
          <w:rFonts w:asciiTheme="minorEastAsia" w:hAnsiTheme="minorEastAsia"/>
          <w:color w:val="000000" w:themeColor="text1"/>
          <w:szCs w:val="21"/>
        </w:rPr>
        <w:t>机械费、管理</w:t>
      </w:r>
      <w:proofErr w:type="gramStart"/>
      <w:r w:rsidRPr="00DA46E5">
        <w:rPr>
          <w:rFonts w:asciiTheme="minorEastAsia" w:hAnsiTheme="minorEastAsia" w:hint="eastAsia"/>
          <w:color w:val="000000" w:themeColor="text1"/>
          <w:szCs w:val="21"/>
        </w:rPr>
        <w:t>参考豫建标定</w:t>
      </w:r>
      <w:proofErr w:type="gramEnd"/>
      <w:r w:rsidRPr="00DA46E5">
        <w:rPr>
          <w:rFonts w:asciiTheme="minorEastAsia" w:hAnsiTheme="minorEastAsia" w:hint="eastAsia"/>
          <w:color w:val="000000" w:themeColor="text1"/>
          <w:szCs w:val="21"/>
        </w:rPr>
        <w:t>〔2016〕40号文计取规则执行，并</w:t>
      </w:r>
      <w:proofErr w:type="gramStart"/>
      <w:r w:rsidRPr="00DA46E5">
        <w:rPr>
          <w:rFonts w:asciiTheme="minorEastAsia" w:hAnsiTheme="minorEastAsia" w:hint="eastAsia"/>
          <w:color w:val="000000" w:themeColor="text1"/>
          <w:szCs w:val="21"/>
        </w:rPr>
        <w:t>参考豫建标定</w:t>
      </w:r>
      <w:proofErr w:type="gramEnd"/>
      <w:r w:rsidRPr="00DA46E5">
        <w:rPr>
          <w:rFonts w:asciiTheme="minorEastAsia" w:hAnsiTheme="minorEastAsia" w:hint="eastAsia"/>
          <w:color w:val="000000" w:themeColor="text1"/>
          <w:szCs w:val="21"/>
        </w:rPr>
        <w:t>〔20</w:t>
      </w:r>
      <w:r w:rsidRPr="00DA46E5">
        <w:rPr>
          <w:rFonts w:asciiTheme="minorEastAsia" w:hAnsiTheme="minorEastAsia"/>
          <w:color w:val="000000" w:themeColor="text1"/>
          <w:szCs w:val="21"/>
        </w:rPr>
        <w:t>20</w:t>
      </w:r>
      <w:r w:rsidRPr="00DA46E5">
        <w:rPr>
          <w:rFonts w:asciiTheme="minorEastAsia" w:hAnsiTheme="minorEastAsia" w:hint="eastAsia"/>
          <w:color w:val="000000" w:themeColor="text1"/>
          <w:szCs w:val="21"/>
        </w:rPr>
        <w:t>〕</w:t>
      </w:r>
      <w:r w:rsidRPr="00DA46E5">
        <w:rPr>
          <w:rFonts w:asciiTheme="minorEastAsia" w:hAnsiTheme="minorEastAsia"/>
          <w:color w:val="000000" w:themeColor="text1"/>
          <w:szCs w:val="21"/>
        </w:rPr>
        <w:t>23</w:t>
      </w:r>
      <w:r w:rsidRPr="00DA46E5">
        <w:rPr>
          <w:rFonts w:asciiTheme="minorEastAsia" w:hAnsiTheme="minorEastAsia" w:hint="eastAsia"/>
          <w:color w:val="000000" w:themeColor="text1"/>
          <w:szCs w:val="21"/>
        </w:rPr>
        <w:t>号</w:t>
      </w:r>
      <w:proofErr w:type="gramStart"/>
      <w:r w:rsidRPr="00DA46E5">
        <w:rPr>
          <w:rFonts w:asciiTheme="minorEastAsia" w:hAnsiTheme="minorEastAsia" w:hint="eastAsia"/>
          <w:color w:val="000000" w:themeColor="text1"/>
          <w:szCs w:val="21"/>
        </w:rPr>
        <w:t>文实行</w:t>
      </w:r>
      <w:proofErr w:type="gramEnd"/>
      <w:r w:rsidRPr="00DA46E5">
        <w:rPr>
          <w:rFonts w:asciiTheme="minorEastAsia" w:hAnsiTheme="minorEastAsia" w:hint="eastAsia"/>
          <w:color w:val="000000" w:themeColor="text1"/>
          <w:szCs w:val="21"/>
        </w:rPr>
        <w:t>指数法动态调整。</w:t>
      </w:r>
    </w:p>
    <w:p w14:paraId="6D4828C8"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增值税税率依据住房和城乡建设部办公厅《关于重新调整建设工程计价依据增值税税率的通知》（建</w:t>
      </w:r>
      <w:proofErr w:type="gramStart"/>
      <w:r w:rsidRPr="00DA46E5">
        <w:rPr>
          <w:rFonts w:asciiTheme="minorEastAsia" w:hAnsiTheme="minorEastAsia" w:hint="eastAsia"/>
          <w:color w:val="000000" w:themeColor="text1"/>
          <w:szCs w:val="21"/>
        </w:rPr>
        <w:t>办标函</w:t>
      </w:r>
      <w:proofErr w:type="gramEnd"/>
      <w:r w:rsidRPr="00DA46E5">
        <w:rPr>
          <w:rFonts w:asciiTheme="minorEastAsia" w:hAnsiTheme="minorEastAsia" w:hint="eastAsia"/>
          <w:color w:val="000000" w:themeColor="text1"/>
          <w:szCs w:val="21"/>
        </w:rPr>
        <w:t>〔2019〕193号），按9%计取。</w:t>
      </w:r>
    </w:p>
    <w:p w14:paraId="045176F9"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其他措施费（夜间施工增加费、二次搬运费、冬雨季施工增加费）依据</w:t>
      </w:r>
      <w:proofErr w:type="gramStart"/>
      <w:r w:rsidRPr="00DA46E5">
        <w:rPr>
          <w:rFonts w:asciiTheme="minorEastAsia" w:hAnsiTheme="minorEastAsia" w:hint="eastAsia"/>
          <w:color w:val="000000" w:themeColor="text1"/>
          <w:szCs w:val="21"/>
        </w:rPr>
        <w:t>豫建设标</w:t>
      </w:r>
      <w:proofErr w:type="gramEnd"/>
      <w:r w:rsidRPr="00DA46E5">
        <w:rPr>
          <w:rFonts w:asciiTheme="minorEastAsia" w:hAnsiTheme="minorEastAsia" w:hint="eastAsia"/>
          <w:color w:val="000000" w:themeColor="text1"/>
          <w:szCs w:val="21"/>
        </w:rPr>
        <w:t>〔2017〕99号文</w:t>
      </w:r>
      <w:r w:rsidRPr="00DA46E5">
        <w:rPr>
          <w:rFonts w:asciiTheme="minorEastAsia" w:hAnsiTheme="minorEastAsia"/>
          <w:color w:val="000000" w:themeColor="text1"/>
          <w:szCs w:val="21"/>
        </w:rPr>
        <w:t>，</w:t>
      </w:r>
      <w:r w:rsidRPr="00DA46E5">
        <w:rPr>
          <w:rFonts w:asciiTheme="minorEastAsia" w:hAnsiTheme="minorEastAsia" w:hint="eastAsia"/>
          <w:color w:val="000000" w:themeColor="text1"/>
          <w:szCs w:val="21"/>
        </w:rPr>
        <w:t>在编制最高投标限价（招标控制价）时，按定额足额计取。</w:t>
      </w:r>
    </w:p>
    <w:p w14:paraId="444DDABD"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其他未说明的项目按照现行的与建设项目有关的法律法规、文件、规范、技术资料执行。</w:t>
      </w:r>
    </w:p>
    <w:p w14:paraId="043F963C" w14:textId="77777777" w:rsidR="00C60F8B" w:rsidRPr="00DA46E5" w:rsidRDefault="00C60F8B" w:rsidP="00C60F8B">
      <w:pPr>
        <w:numPr>
          <w:ilvl w:val="0"/>
          <w:numId w:val="1"/>
        </w:numPr>
        <w:adjustRightInd w:val="0"/>
        <w:snapToGrid w:val="0"/>
        <w:spacing w:beforeLines="100" w:before="312" w:line="50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其他说明：</w:t>
      </w:r>
    </w:p>
    <w:p w14:paraId="45137DB2" w14:textId="736917A0" w:rsidR="00FB3BBB" w:rsidRPr="00DA46E5" w:rsidRDefault="00546ED8" w:rsidP="00546ED8">
      <w:pPr>
        <w:numPr>
          <w:ilvl w:val="1"/>
          <w:numId w:val="11"/>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本工程</w:t>
      </w:r>
      <w:r w:rsidRPr="00DA46E5">
        <w:rPr>
          <w:rFonts w:asciiTheme="minorEastAsia" w:hAnsiTheme="minorEastAsia"/>
          <w:color w:val="000000" w:themeColor="text1"/>
          <w:szCs w:val="21"/>
        </w:rPr>
        <w:t>暂列金额合计</w:t>
      </w:r>
      <w:r w:rsidR="00913382" w:rsidRPr="00DA46E5">
        <w:rPr>
          <w:rFonts w:asciiTheme="minorEastAsia" w:hAnsiTheme="minorEastAsia"/>
          <w:color w:val="000000" w:themeColor="text1"/>
          <w:szCs w:val="21"/>
        </w:rPr>
        <w:t>17</w:t>
      </w:r>
      <w:r w:rsidR="009557F8" w:rsidRPr="00DA46E5">
        <w:rPr>
          <w:rFonts w:asciiTheme="minorEastAsia" w:hAnsiTheme="minorEastAsia"/>
          <w:color w:val="000000" w:themeColor="text1"/>
          <w:szCs w:val="21"/>
        </w:rPr>
        <w:t>5</w:t>
      </w:r>
      <w:r w:rsidRPr="00DA46E5">
        <w:rPr>
          <w:rFonts w:asciiTheme="minorEastAsia" w:hAnsiTheme="minorEastAsia"/>
          <w:color w:val="000000" w:themeColor="text1"/>
          <w:szCs w:val="21"/>
        </w:rPr>
        <w:t>,0</w:t>
      </w:r>
      <w:r w:rsidRPr="00DA46E5">
        <w:rPr>
          <w:rFonts w:asciiTheme="minorEastAsia" w:hAnsiTheme="minorEastAsia" w:hint="eastAsia"/>
          <w:color w:val="000000" w:themeColor="text1"/>
          <w:szCs w:val="21"/>
        </w:rPr>
        <w:t>00.00</w:t>
      </w:r>
      <w:r w:rsidR="00504163" w:rsidRPr="00DA46E5">
        <w:rPr>
          <w:rFonts w:asciiTheme="minorEastAsia" w:hAnsiTheme="minorEastAsia" w:hint="eastAsia"/>
          <w:color w:val="000000" w:themeColor="text1"/>
          <w:szCs w:val="21"/>
        </w:rPr>
        <w:t>元</w:t>
      </w:r>
      <w:r w:rsidR="00C7646C" w:rsidRPr="00DA46E5">
        <w:rPr>
          <w:rFonts w:asciiTheme="minorEastAsia" w:hAnsiTheme="minorEastAsia" w:hint="eastAsia"/>
          <w:color w:val="000000" w:themeColor="text1"/>
          <w:szCs w:val="21"/>
        </w:rPr>
        <w:t>，</w:t>
      </w:r>
      <w:r w:rsidR="00C7646C" w:rsidRPr="00DA46E5">
        <w:rPr>
          <w:rFonts w:asciiTheme="minorEastAsia" w:hAnsiTheme="minorEastAsia"/>
          <w:color w:val="000000" w:themeColor="text1"/>
          <w:szCs w:val="21"/>
        </w:rPr>
        <w:t>为不可</w:t>
      </w:r>
      <w:r w:rsidR="00C7646C" w:rsidRPr="00DA46E5">
        <w:rPr>
          <w:rFonts w:asciiTheme="minorEastAsia" w:hAnsiTheme="minorEastAsia" w:hint="eastAsia"/>
          <w:color w:val="000000" w:themeColor="text1"/>
          <w:szCs w:val="21"/>
        </w:rPr>
        <w:t>竞争</w:t>
      </w:r>
      <w:r w:rsidR="00C7646C" w:rsidRPr="00DA46E5">
        <w:rPr>
          <w:rFonts w:asciiTheme="minorEastAsia" w:hAnsiTheme="minorEastAsia"/>
          <w:color w:val="000000" w:themeColor="text1"/>
          <w:szCs w:val="21"/>
        </w:rPr>
        <w:t>费用</w:t>
      </w:r>
      <w:r w:rsidR="00504163" w:rsidRPr="00DA46E5">
        <w:rPr>
          <w:rFonts w:asciiTheme="minorEastAsia" w:hAnsiTheme="minorEastAsia" w:hint="eastAsia"/>
          <w:color w:val="000000" w:themeColor="text1"/>
          <w:szCs w:val="21"/>
        </w:rPr>
        <w:t>。</w:t>
      </w:r>
    </w:p>
    <w:sectPr w:rsidR="00FB3BBB" w:rsidRPr="00DA46E5">
      <w:footerReference w:type="default" r:id="rId10"/>
      <w:pgSz w:w="11906" w:h="16838"/>
      <w:pgMar w:top="1440" w:right="1797" w:bottom="1440" w:left="1797"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4A99F" w14:textId="77777777" w:rsidR="00D66A07" w:rsidRDefault="00D66A07">
      <w:r>
        <w:separator/>
      </w:r>
    </w:p>
  </w:endnote>
  <w:endnote w:type="continuationSeparator" w:id="0">
    <w:p w14:paraId="74076C83" w14:textId="77777777" w:rsidR="00D66A07" w:rsidRDefault="00D6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DA142" w14:textId="248705AA" w:rsidR="00FB3BBB" w:rsidRDefault="00CF507A">
    <w:pPr>
      <w:pStyle w:val="a6"/>
      <w:jc w:val="center"/>
      <w:rPr>
        <w:rFonts w:ascii="宋体" w:hAnsi="宋体"/>
      </w:rPr>
    </w:pPr>
    <w:r>
      <w:rPr>
        <w:rFonts w:ascii="宋体" w:hAnsi="宋体" w:hint="eastAsia"/>
      </w:rPr>
      <w:t>第</w:t>
    </w:r>
    <w:r>
      <w:rPr>
        <w:rFonts w:ascii="宋体" w:hAnsi="宋体"/>
        <w:bCs/>
      </w:rPr>
      <w:fldChar w:fldCharType="begin"/>
    </w:r>
    <w:r>
      <w:rPr>
        <w:rFonts w:ascii="宋体" w:hAnsi="宋体"/>
        <w:bCs/>
      </w:rPr>
      <w:instrText>PAGE</w:instrText>
    </w:r>
    <w:r>
      <w:rPr>
        <w:rFonts w:ascii="宋体" w:hAnsi="宋体"/>
        <w:bCs/>
      </w:rPr>
      <w:fldChar w:fldCharType="separate"/>
    </w:r>
    <w:r w:rsidR="009952A0">
      <w:rPr>
        <w:rFonts w:ascii="宋体" w:hAnsi="宋体"/>
        <w:bCs/>
        <w:noProof/>
      </w:rPr>
      <w:t>3</w:t>
    </w:r>
    <w:r>
      <w:rPr>
        <w:rFonts w:ascii="宋体" w:hAnsi="宋体"/>
        <w:bCs/>
      </w:rPr>
      <w:fldChar w:fldCharType="end"/>
    </w:r>
    <w:r>
      <w:rPr>
        <w:rFonts w:ascii="宋体" w:hAnsi="宋体" w:hint="eastAsia"/>
        <w:bCs/>
      </w:rPr>
      <w:t>页</w:t>
    </w:r>
    <w:r w:rsidR="00620196">
      <w:rPr>
        <w:rFonts w:ascii="宋体" w:hAnsi="宋体"/>
        <w:bCs/>
      </w:rPr>
      <w:t xml:space="preserve"> </w:t>
    </w:r>
    <w:r>
      <w:rPr>
        <w:rFonts w:ascii="宋体" w:hAnsi="宋体" w:hint="eastAsia"/>
        <w:bCs/>
      </w:rPr>
      <w:t>共</w:t>
    </w:r>
    <w:r>
      <w:rPr>
        <w:rFonts w:ascii="宋体" w:hAnsi="宋体"/>
        <w:bCs/>
      </w:rPr>
      <w:fldChar w:fldCharType="begin"/>
    </w:r>
    <w:r>
      <w:rPr>
        <w:rFonts w:ascii="宋体" w:hAnsi="宋体"/>
        <w:bCs/>
      </w:rPr>
      <w:instrText>NUMPAGES</w:instrText>
    </w:r>
    <w:r>
      <w:rPr>
        <w:rFonts w:ascii="宋体" w:hAnsi="宋体"/>
        <w:bCs/>
      </w:rPr>
      <w:fldChar w:fldCharType="separate"/>
    </w:r>
    <w:r w:rsidR="009952A0">
      <w:rPr>
        <w:rFonts w:ascii="宋体" w:hAnsi="宋体"/>
        <w:bCs/>
        <w:noProof/>
      </w:rPr>
      <w:t>3</w:t>
    </w:r>
    <w:r>
      <w:rPr>
        <w:rFonts w:ascii="宋体" w:hAnsi="宋体"/>
        <w:bCs/>
      </w:rPr>
      <w:fldChar w:fldCharType="end"/>
    </w:r>
    <w:r>
      <w:rPr>
        <w:rFonts w:ascii="宋体" w:hAnsi="宋体" w:hint="eastAsia"/>
        <w:bCs/>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3EDD0" w14:textId="77777777" w:rsidR="00D66A07" w:rsidRDefault="00D66A07">
      <w:r>
        <w:separator/>
      </w:r>
    </w:p>
  </w:footnote>
  <w:footnote w:type="continuationSeparator" w:id="0">
    <w:p w14:paraId="456F93F3" w14:textId="77777777" w:rsidR="00D66A07" w:rsidRDefault="00D66A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C75E8"/>
    <w:multiLevelType w:val="multilevel"/>
    <w:tmpl w:val="071C75E8"/>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DDA14B0"/>
    <w:multiLevelType w:val="multilevel"/>
    <w:tmpl w:val="0DDA14B0"/>
    <w:lvl w:ilvl="0">
      <w:start w:val="1"/>
      <w:numFmt w:val="decimal"/>
      <w:lvlText w:val="%1"/>
      <w:lvlJc w:val="left"/>
      <w:pPr>
        <w:ind w:left="425" w:hanging="425"/>
      </w:pPr>
      <w:rPr>
        <w:rFonts w:hint="eastAsia"/>
      </w:rPr>
    </w:lvl>
    <w:lvl w:ilvl="1">
      <w:start w:val="1"/>
      <w:numFmt w:val="decimal"/>
      <w:suff w:val="space"/>
      <w:lvlText w:val="3.%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8131A5"/>
    <w:multiLevelType w:val="multilevel"/>
    <w:tmpl w:val="118131A5"/>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1.%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4C5FA2"/>
    <w:multiLevelType w:val="multilevel"/>
    <w:tmpl w:val="CA70B1B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lowerLetter"/>
      <w:suff w:val="space"/>
      <w:lvlText w:val="%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BA707EC"/>
    <w:multiLevelType w:val="multilevel"/>
    <w:tmpl w:val="6A9A26B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upperLetter"/>
      <w:suff w:val="space"/>
      <w:lvlText w:val="%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0AC2C37"/>
    <w:multiLevelType w:val="multilevel"/>
    <w:tmpl w:val="071C75E8"/>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6B52489"/>
    <w:multiLevelType w:val="multilevel"/>
    <w:tmpl w:val="BFA243BA"/>
    <w:lvl w:ilvl="0">
      <w:start w:val="1"/>
      <w:numFmt w:val="decimal"/>
      <w:lvlText w:val="%1"/>
      <w:lvlJc w:val="left"/>
      <w:pPr>
        <w:ind w:left="425" w:hanging="425"/>
      </w:pPr>
      <w:rPr>
        <w:rFonts w:hint="eastAsia"/>
      </w:rPr>
    </w:lvl>
    <w:lvl w:ilvl="1">
      <w:start w:val="1"/>
      <w:numFmt w:val="decimal"/>
      <w:suff w:val="space"/>
      <w:lvlText w:val="3.%2"/>
      <w:lvlJc w:val="left"/>
      <w:pPr>
        <w:ind w:left="0" w:firstLine="425"/>
      </w:pPr>
      <w:rPr>
        <w:rFonts w:hint="eastAsia"/>
        <w:b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3D79171E"/>
    <w:multiLevelType w:val="hybridMultilevel"/>
    <w:tmpl w:val="D46CEFEC"/>
    <w:lvl w:ilvl="0" w:tplc="CA1C3E0C">
      <w:start w:val="1"/>
      <w:numFmt w:val="bullet"/>
      <w:suff w:val="space"/>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40B94C45"/>
    <w:multiLevelType w:val="multilevel"/>
    <w:tmpl w:val="FB8A750E"/>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DAE1973"/>
    <w:multiLevelType w:val="multilevel"/>
    <w:tmpl w:val="5DAE1973"/>
    <w:lvl w:ilvl="0">
      <w:start w:val="1"/>
      <w:numFmt w:val="bullet"/>
      <w:suff w:val="space"/>
      <w:lvlText w:val=""/>
      <w:lvlJc w:val="left"/>
      <w:pPr>
        <w:ind w:left="987" w:hanging="420"/>
      </w:pPr>
      <w:rPr>
        <w:rFonts w:ascii="Wingdings" w:hAnsi="Wingdings" w:hint="default"/>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0" w15:restartNumberingAfterBreak="0">
    <w:nsid w:val="60B00D2A"/>
    <w:multiLevelType w:val="multilevel"/>
    <w:tmpl w:val="EC0ABD06"/>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6ED6919"/>
    <w:multiLevelType w:val="multilevel"/>
    <w:tmpl w:val="66ED6919"/>
    <w:lvl w:ilvl="0">
      <w:start w:val="1"/>
      <w:numFmt w:val="koreanDigital2"/>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C026874"/>
    <w:multiLevelType w:val="multilevel"/>
    <w:tmpl w:val="6C02687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73805720"/>
    <w:multiLevelType w:val="multilevel"/>
    <w:tmpl w:val="EF9601DC"/>
    <w:lvl w:ilvl="0">
      <w:start w:val="1"/>
      <w:numFmt w:val="decimal"/>
      <w:suff w:val="space"/>
      <w:lvlText w:val="3.10.%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1"/>
  </w:num>
  <w:num w:numId="2">
    <w:abstractNumId w:val="2"/>
  </w:num>
  <w:num w:numId="3">
    <w:abstractNumId w:val="12"/>
  </w:num>
  <w:num w:numId="4">
    <w:abstractNumId w:val="9"/>
  </w:num>
  <w:num w:numId="5">
    <w:abstractNumId w:val="1"/>
  </w:num>
  <w:num w:numId="6">
    <w:abstractNumId w:val="0"/>
  </w:num>
  <w:num w:numId="7">
    <w:abstractNumId w:val="8"/>
  </w:num>
  <w:num w:numId="8">
    <w:abstractNumId w:val="10"/>
  </w:num>
  <w:num w:numId="9">
    <w:abstractNumId w:val="13"/>
  </w:num>
  <w:num w:numId="10">
    <w:abstractNumId w:val="6"/>
  </w:num>
  <w:num w:numId="11">
    <w:abstractNumId w:val="5"/>
  </w:num>
  <w:num w:numId="12">
    <w:abstractNumId w:val="4"/>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DEF"/>
    <w:rsid w:val="0000420B"/>
    <w:rsid w:val="00007C9D"/>
    <w:rsid w:val="000142F4"/>
    <w:rsid w:val="000176A4"/>
    <w:rsid w:val="00032B90"/>
    <w:rsid w:val="00036164"/>
    <w:rsid w:val="00043058"/>
    <w:rsid w:val="00044600"/>
    <w:rsid w:val="00061144"/>
    <w:rsid w:val="00067FEC"/>
    <w:rsid w:val="00093A05"/>
    <w:rsid w:val="000B42B7"/>
    <w:rsid w:val="000C241B"/>
    <w:rsid w:val="000C28A8"/>
    <w:rsid w:val="000D12C2"/>
    <w:rsid w:val="000D6D74"/>
    <w:rsid w:val="0010000F"/>
    <w:rsid w:val="0011772F"/>
    <w:rsid w:val="001267DD"/>
    <w:rsid w:val="001370A5"/>
    <w:rsid w:val="001509AD"/>
    <w:rsid w:val="00154C91"/>
    <w:rsid w:val="00177C0C"/>
    <w:rsid w:val="001850C4"/>
    <w:rsid w:val="00185CC4"/>
    <w:rsid w:val="00185F7C"/>
    <w:rsid w:val="00187569"/>
    <w:rsid w:val="001A0852"/>
    <w:rsid w:val="001A19C1"/>
    <w:rsid w:val="001A70D1"/>
    <w:rsid w:val="001A75BF"/>
    <w:rsid w:val="001D0154"/>
    <w:rsid w:val="001F00E7"/>
    <w:rsid w:val="00244D64"/>
    <w:rsid w:val="002452FF"/>
    <w:rsid w:val="002462FA"/>
    <w:rsid w:val="002738FF"/>
    <w:rsid w:val="00280DC8"/>
    <w:rsid w:val="002879A9"/>
    <w:rsid w:val="00287DEB"/>
    <w:rsid w:val="0029286C"/>
    <w:rsid w:val="00292DC1"/>
    <w:rsid w:val="002B1758"/>
    <w:rsid w:val="002B1C55"/>
    <w:rsid w:val="002D51C5"/>
    <w:rsid w:val="002E0014"/>
    <w:rsid w:val="002E4454"/>
    <w:rsid w:val="003268B7"/>
    <w:rsid w:val="003302F6"/>
    <w:rsid w:val="003322B1"/>
    <w:rsid w:val="00335C38"/>
    <w:rsid w:val="00341A38"/>
    <w:rsid w:val="00344120"/>
    <w:rsid w:val="00355C5C"/>
    <w:rsid w:val="00357DE5"/>
    <w:rsid w:val="00363671"/>
    <w:rsid w:val="003640C8"/>
    <w:rsid w:val="00370167"/>
    <w:rsid w:val="00375808"/>
    <w:rsid w:val="003764FB"/>
    <w:rsid w:val="00377174"/>
    <w:rsid w:val="00395597"/>
    <w:rsid w:val="003A1305"/>
    <w:rsid w:val="003B32BF"/>
    <w:rsid w:val="003C4D6F"/>
    <w:rsid w:val="003F2AFC"/>
    <w:rsid w:val="00442B2F"/>
    <w:rsid w:val="00444BC5"/>
    <w:rsid w:val="00460970"/>
    <w:rsid w:val="00480431"/>
    <w:rsid w:val="00482731"/>
    <w:rsid w:val="00487D23"/>
    <w:rsid w:val="004901DB"/>
    <w:rsid w:val="004A0081"/>
    <w:rsid w:val="004A443F"/>
    <w:rsid w:val="004A77DE"/>
    <w:rsid w:val="004D41B3"/>
    <w:rsid w:val="004D7820"/>
    <w:rsid w:val="004F0376"/>
    <w:rsid w:val="004F0D80"/>
    <w:rsid w:val="004F1E7D"/>
    <w:rsid w:val="00504163"/>
    <w:rsid w:val="00504FE6"/>
    <w:rsid w:val="005135F6"/>
    <w:rsid w:val="00520D08"/>
    <w:rsid w:val="00546ED8"/>
    <w:rsid w:val="00560F79"/>
    <w:rsid w:val="00566A2C"/>
    <w:rsid w:val="005803C5"/>
    <w:rsid w:val="005831A4"/>
    <w:rsid w:val="00597125"/>
    <w:rsid w:val="005A5C28"/>
    <w:rsid w:val="005B4677"/>
    <w:rsid w:val="005D72B1"/>
    <w:rsid w:val="005E2DEF"/>
    <w:rsid w:val="005E6193"/>
    <w:rsid w:val="005F4F28"/>
    <w:rsid w:val="006127CB"/>
    <w:rsid w:val="006164EA"/>
    <w:rsid w:val="00620196"/>
    <w:rsid w:val="00622855"/>
    <w:rsid w:val="00623F8A"/>
    <w:rsid w:val="00635559"/>
    <w:rsid w:val="006375AF"/>
    <w:rsid w:val="006461C7"/>
    <w:rsid w:val="00646697"/>
    <w:rsid w:val="006858F1"/>
    <w:rsid w:val="006904C9"/>
    <w:rsid w:val="00693C39"/>
    <w:rsid w:val="00694747"/>
    <w:rsid w:val="006A47CF"/>
    <w:rsid w:val="006E6113"/>
    <w:rsid w:val="007057AC"/>
    <w:rsid w:val="00725EE7"/>
    <w:rsid w:val="0073156D"/>
    <w:rsid w:val="00733DFB"/>
    <w:rsid w:val="00734070"/>
    <w:rsid w:val="00746CB1"/>
    <w:rsid w:val="00756328"/>
    <w:rsid w:val="0077573E"/>
    <w:rsid w:val="00783EEF"/>
    <w:rsid w:val="00787059"/>
    <w:rsid w:val="0079408F"/>
    <w:rsid w:val="007A06F9"/>
    <w:rsid w:val="007A14D1"/>
    <w:rsid w:val="007C207C"/>
    <w:rsid w:val="007C49FF"/>
    <w:rsid w:val="007C52CF"/>
    <w:rsid w:val="007D52F1"/>
    <w:rsid w:val="007D7459"/>
    <w:rsid w:val="007E58A8"/>
    <w:rsid w:val="007F1ECC"/>
    <w:rsid w:val="007F2B71"/>
    <w:rsid w:val="007F59CB"/>
    <w:rsid w:val="008007CB"/>
    <w:rsid w:val="008206BE"/>
    <w:rsid w:val="0082558B"/>
    <w:rsid w:val="0084412B"/>
    <w:rsid w:val="00857B06"/>
    <w:rsid w:val="00864AA0"/>
    <w:rsid w:val="00885B82"/>
    <w:rsid w:val="00886AC3"/>
    <w:rsid w:val="008C20B0"/>
    <w:rsid w:val="008D4845"/>
    <w:rsid w:val="008D74ED"/>
    <w:rsid w:val="00913382"/>
    <w:rsid w:val="00920626"/>
    <w:rsid w:val="009557F8"/>
    <w:rsid w:val="00991257"/>
    <w:rsid w:val="009952A0"/>
    <w:rsid w:val="00997748"/>
    <w:rsid w:val="009A4C00"/>
    <w:rsid w:val="009A6FA9"/>
    <w:rsid w:val="009B0F96"/>
    <w:rsid w:val="009B7BC6"/>
    <w:rsid w:val="009D09DB"/>
    <w:rsid w:val="009D0C6E"/>
    <w:rsid w:val="009E7B05"/>
    <w:rsid w:val="009F3C33"/>
    <w:rsid w:val="00A04118"/>
    <w:rsid w:val="00A04237"/>
    <w:rsid w:val="00A4640C"/>
    <w:rsid w:val="00A50DC0"/>
    <w:rsid w:val="00A618D5"/>
    <w:rsid w:val="00AA2330"/>
    <w:rsid w:val="00AA6BD9"/>
    <w:rsid w:val="00AA7464"/>
    <w:rsid w:val="00AB2873"/>
    <w:rsid w:val="00AC4210"/>
    <w:rsid w:val="00AC60FC"/>
    <w:rsid w:val="00AE05A7"/>
    <w:rsid w:val="00B00AE4"/>
    <w:rsid w:val="00B03900"/>
    <w:rsid w:val="00B16517"/>
    <w:rsid w:val="00B22F42"/>
    <w:rsid w:val="00B36169"/>
    <w:rsid w:val="00B37934"/>
    <w:rsid w:val="00B37AEE"/>
    <w:rsid w:val="00B44A66"/>
    <w:rsid w:val="00B73A06"/>
    <w:rsid w:val="00B82A21"/>
    <w:rsid w:val="00B864CE"/>
    <w:rsid w:val="00B9021D"/>
    <w:rsid w:val="00B946A4"/>
    <w:rsid w:val="00B94D9E"/>
    <w:rsid w:val="00B96A6C"/>
    <w:rsid w:val="00B97E34"/>
    <w:rsid w:val="00BA7AF4"/>
    <w:rsid w:val="00BB6568"/>
    <w:rsid w:val="00BC50E4"/>
    <w:rsid w:val="00BC7181"/>
    <w:rsid w:val="00BF4172"/>
    <w:rsid w:val="00C21759"/>
    <w:rsid w:val="00C276A9"/>
    <w:rsid w:val="00C43460"/>
    <w:rsid w:val="00C450F7"/>
    <w:rsid w:val="00C54719"/>
    <w:rsid w:val="00C60F8B"/>
    <w:rsid w:val="00C701A2"/>
    <w:rsid w:val="00C71FCA"/>
    <w:rsid w:val="00C74774"/>
    <w:rsid w:val="00C75355"/>
    <w:rsid w:val="00C7646C"/>
    <w:rsid w:val="00C7724F"/>
    <w:rsid w:val="00C80A16"/>
    <w:rsid w:val="00CB0B7C"/>
    <w:rsid w:val="00CC0A06"/>
    <w:rsid w:val="00CE066D"/>
    <w:rsid w:val="00CF1575"/>
    <w:rsid w:val="00CF507A"/>
    <w:rsid w:val="00D025CE"/>
    <w:rsid w:val="00D07922"/>
    <w:rsid w:val="00D23B01"/>
    <w:rsid w:val="00D346AA"/>
    <w:rsid w:val="00D55622"/>
    <w:rsid w:val="00D66A07"/>
    <w:rsid w:val="00D67B74"/>
    <w:rsid w:val="00D875F1"/>
    <w:rsid w:val="00D93E9D"/>
    <w:rsid w:val="00DA46E5"/>
    <w:rsid w:val="00DB0D7C"/>
    <w:rsid w:val="00DB4A7A"/>
    <w:rsid w:val="00DC3A96"/>
    <w:rsid w:val="00DD0ECF"/>
    <w:rsid w:val="00DD1838"/>
    <w:rsid w:val="00DD7FF8"/>
    <w:rsid w:val="00DE5AF5"/>
    <w:rsid w:val="00E10D77"/>
    <w:rsid w:val="00E14383"/>
    <w:rsid w:val="00E217D4"/>
    <w:rsid w:val="00E23EDB"/>
    <w:rsid w:val="00E2441F"/>
    <w:rsid w:val="00E26922"/>
    <w:rsid w:val="00E5499E"/>
    <w:rsid w:val="00E77E19"/>
    <w:rsid w:val="00EB1C6D"/>
    <w:rsid w:val="00EB7588"/>
    <w:rsid w:val="00EC412E"/>
    <w:rsid w:val="00EE165C"/>
    <w:rsid w:val="00EE69DC"/>
    <w:rsid w:val="00EF4923"/>
    <w:rsid w:val="00F0641D"/>
    <w:rsid w:val="00F1544E"/>
    <w:rsid w:val="00F24A4B"/>
    <w:rsid w:val="00F31342"/>
    <w:rsid w:val="00F34AEC"/>
    <w:rsid w:val="00F4466C"/>
    <w:rsid w:val="00F51EBD"/>
    <w:rsid w:val="00F65D4D"/>
    <w:rsid w:val="00FA65EE"/>
    <w:rsid w:val="00FB3BBB"/>
    <w:rsid w:val="00FB75B1"/>
    <w:rsid w:val="00FC0710"/>
    <w:rsid w:val="00FC5DFE"/>
    <w:rsid w:val="00FD2721"/>
    <w:rsid w:val="26AA4522"/>
    <w:rsid w:val="2F3375AA"/>
    <w:rsid w:val="3C444DF5"/>
    <w:rsid w:val="55CD1F0A"/>
    <w:rsid w:val="61CB7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89EAA-3726-4259-B6E7-3DBB925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3">
    <w:name w:val="toc 3"/>
    <w:basedOn w:val="a"/>
    <w:next w:val="a"/>
    <w:uiPriority w:val="39"/>
    <w:unhideWhenUsed/>
    <w:qFormat/>
    <w:pPr>
      <w:spacing w:line="440" w:lineRule="exact"/>
      <w:ind w:firstLineChars="400" w:firstLine="400"/>
      <w:jc w:val="left"/>
    </w:pPr>
    <w:rPr>
      <w:rFonts w:eastAsia="宋体" w:cs="Times New Roman"/>
      <w:i/>
      <w:iCs/>
      <w:sz w:val="22"/>
      <w:szCs w:val="20"/>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pPr>
      <w:spacing w:before="120" w:after="120" w:line="440" w:lineRule="exact"/>
      <w:jc w:val="left"/>
    </w:pPr>
    <w:rPr>
      <w:rFonts w:eastAsia="宋体" w:cs="Times New Roman"/>
      <w:b/>
      <w:bCs/>
      <w:caps/>
      <w:sz w:val="22"/>
      <w:szCs w:val="20"/>
    </w:rPr>
  </w:style>
  <w:style w:type="paragraph" w:styleId="4">
    <w:name w:val="toc 4"/>
    <w:basedOn w:val="a"/>
    <w:next w:val="a"/>
    <w:uiPriority w:val="39"/>
    <w:unhideWhenUsed/>
    <w:qFormat/>
    <w:pPr>
      <w:spacing w:line="440" w:lineRule="exact"/>
      <w:ind w:firstLineChars="600" w:firstLine="600"/>
      <w:jc w:val="left"/>
    </w:pPr>
    <w:rPr>
      <w:rFonts w:eastAsia="宋体" w:cs="Times New Roman"/>
      <w:sz w:val="22"/>
      <w:szCs w:val="18"/>
    </w:rPr>
  </w:style>
  <w:style w:type="paragraph" w:styleId="2">
    <w:name w:val="toc 2"/>
    <w:basedOn w:val="a"/>
    <w:next w:val="a"/>
    <w:uiPriority w:val="39"/>
    <w:unhideWhenUsed/>
    <w:qFormat/>
    <w:pPr>
      <w:spacing w:line="440" w:lineRule="exact"/>
      <w:ind w:firstLineChars="200" w:firstLine="200"/>
      <w:jc w:val="left"/>
    </w:pPr>
    <w:rPr>
      <w:rFonts w:eastAsia="宋体" w:cs="Times New Roman"/>
      <w:smallCaps/>
      <w:sz w:val="22"/>
      <w:szCs w:val="20"/>
    </w:rPr>
  </w:style>
  <w:style w:type="character" w:styleId="a8">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 w:type="paragraph" w:styleId="a9">
    <w:name w:val="List Paragraph"/>
    <w:basedOn w:val="a"/>
    <w:uiPriority w:val="99"/>
    <w:rsid w:val="00734070"/>
    <w:pPr>
      <w:ind w:firstLineChars="200" w:firstLine="420"/>
    </w:pPr>
  </w:style>
  <w:style w:type="character" w:styleId="aa">
    <w:name w:val="Emphasis"/>
    <w:basedOn w:val="a0"/>
    <w:uiPriority w:val="20"/>
    <w:qFormat/>
    <w:rsid w:val="00783EEF"/>
    <w:rPr>
      <w:i w:val="0"/>
      <w:iCs w:val="0"/>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MdlwC7A9nHAO9m5fare7DMrUZ9tm9oZ6n7qnrasb-yaIF6jy6_ysxNKsKtmP0t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aidu.com/link?url=Osxfa6iLTSjaXSjg80rTmAi_maS3Lq-9SPeGeGzoTmlJ_SYbuILcPxyB-_8vn0iApkSbQpQZhXFw4nRWJPEdp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Pages>
  <Words>362</Words>
  <Characters>2065</Characters>
  <Application>Microsoft Office Word</Application>
  <DocSecurity>0</DocSecurity>
  <Lines>17</Lines>
  <Paragraphs>4</Paragraphs>
  <ScaleCrop>false</ScaleCrop>
  <Company>中咨华源</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dc:creator>
  <cp:lastModifiedBy>SAND</cp:lastModifiedBy>
  <cp:revision>231</cp:revision>
  <cp:lastPrinted>2020-08-31T05:20:00Z</cp:lastPrinted>
  <dcterms:created xsi:type="dcterms:W3CDTF">2020-04-03T08:16:00Z</dcterms:created>
  <dcterms:modified xsi:type="dcterms:W3CDTF">2020-09-17T00:07:00Z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